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5310"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CE17DE1" wp14:editId="31A6EA1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DD6CF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B6F6DE3" wp14:editId="2CD78F2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C8DAD" w14:textId="77777777" w:rsidR="00F44543" w:rsidRDefault="00F44543" w:rsidP="00AE5488">
                            <w:r>
                              <w:rPr>
                                <w:noProof/>
                              </w:rPr>
                              <w:drawing>
                                <wp:inline distT="0" distB="0" distL="0" distR="0" wp14:anchorId="783C6F6E" wp14:editId="418BD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B6F6DE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84C8DAD" w14:textId="77777777" w:rsidR="00F44543" w:rsidRDefault="00F44543" w:rsidP="00AE5488">
                      <w:r>
                        <w:rPr>
                          <w:noProof/>
                        </w:rPr>
                        <w:drawing>
                          <wp:inline distT="0" distB="0" distL="0" distR="0" wp14:anchorId="783C6F6E" wp14:editId="418BD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BB275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8496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3EC19B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3A4AC4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F71C4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9AE89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3D8F40B"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5171D0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2C1062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1709D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8E19C5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371BD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73381A3" w14:textId="77777777" w:rsidR="00040C3A" w:rsidRPr="0090270B" w:rsidRDefault="00F10D38"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9AD3F5" wp14:editId="22C2383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E2244" w14:textId="6241A160" w:rsidR="00F44543" w:rsidRPr="004E2649" w:rsidRDefault="00F445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F2992">
                              <w:rPr>
                                <w:rFonts w:asciiTheme="majorHAnsi" w:hAnsiTheme="majorHAnsi" w:cs="Arial"/>
                                <w:b/>
                                <w:bCs/>
                                <w:color w:val="0D0D0D" w:themeColor="text1" w:themeTint="F2"/>
                                <w:sz w:val="36"/>
                                <w:szCs w:val="22"/>
                                <w:lang w:val="es-ES_tradnl"/>
                              </w:rPr>
                              <w:t xml:space="preserve"> 18</w:t>
                            </w:r>
                            <w:r w:rsidR="004F5487">
                              <w:rPr>
                                <w:rFonts w:asciiTheme="majorHAnsi" w:hAnsiTheme="majorHAnsi" w:cs="Arial"/>
                                <w:b/>
                                <w:bCs/>
                                <w:color w:val="0D0D0D" w:themeColor="text1" w:themeTint="F2"/>
                                <w:sz w:val="36"/>
                                <w:szCs w:val="22"/>
                                <w:lang w:val="es-ES_tradnl"/>
                              </w:rPr>
                              <w:t>/21</w:t>
                            </w:r>
                          </w:p>
                          <w:p w14:paraId="34D53AA9" w14:textId="77777777" w:rsidR="00F44543" w:rsidRDefault="00F4454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1302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3382275" w14:textId="4A418CB2" w:rsidR="00F44543" w:rsidRPr="0010736F" w:rsidRDefault="00F4454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4B8EE421" w14:textId="77777777" w:rsidR="00F44543" w:rsidRPr="0010736F" w:rsidRDefault="00F44543" w:rsidP="00997BC5">
                            <w:pPr>
                              <w:spacing w:line="276" w:lineRule="auto"/>
                              <w:rPr>
                                <w:rFonts w:asciiTheme="majorHAnsi" w:hAnsiTheme="majorHAnsi" w:cs="Arial"/>
                                <w:color w:val="0D0D0D" w:themeColor="text1" w:themeTint="F2"/>
                                <w:szCs w:val="22"/>
                                <w:lang w:val="es-ES_tradnl"/>
                              </w:rPr>
                            </w:pPr>
                            <w:bookmarkStart w:id="0" w:name="_ftnref1"/>
                          </w:p>
                          <w:p w14:paraId="43D2A91E" w14:textId="77777777" w:rsidR="00F44543" w:rsidRPr="0010736F" w:rsidRDefault="00F445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ALVARO ERIK MONTES ECHEVERRÍA</w:t>
                            </w:r>
                          </w:p>
                          <w:bookmarkEnd w:id="0"/>
                          <w:p w14:paraId="03AEC9A8" w14:textId="77777777" w:rsidR="00F44543" w:rsidRPr="0010736F" w:rsidRDefault="00F4454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637AD8C4" w14:textId="77777777" w:rsidR="00F44543" w:rsidRPr="00AE5488" w:rsidRDefault="00F4454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9AD3F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0DE2244" w14:textId="6241A160" w:rsidR="00F44543" w:rsidRPr="004E2649" w:rsidRDefault="00F445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F2992">
                        <w:rPr>
                          <w:rFonts w:asciiTheme="majorHAnsi" w:hAnsiTheme="majorHAnsi" w:cs="Arial"/>
                          <w:b/>
                          <w:bCs/>
                          <w:color w:val="0D0D0D" w:themeColor="text1" w:themeTint="F2"/>
                          <w:sz w:val="36"/>
                          <w:szCs w:val="22"/>
                          <w:lang w:val="es-ES_tradnl"/>
                        </w:rPr>
                        <w:t xml:space="preserve"> </w:t>
                      </w:r>
                      <w:r w:rsidR="000F2992">
                        <w:rPr>
                          <w:rFonts w:asciiTheme="majorHAnsi" w:hAnsiTheme="majorHAnsi" w:cs="Arial"/>
                          <w:b/>
                          <w:bCs/>
                          <w:color w:val="0D0D0D" w:themeColor="text1" w:themeTint="F2"/>
                          <w:sz w:val="36"/>
                          <w:szCs w:val="22"/>
                          <w:lang w:val="es-ES_tradnl"/>
                        </w:rPr>
                        <w:t>18</w:t>
                      </w:r>
                      <w:r w:rsidR="004F5487">
                        <w:rPr>
                          <w:rFonts w:asciiTheme="majorHAnsi" w:hAnsiTheme="majorHAnsi" w:cs="Arial"/>
                          <w:b/>
                          <w:bCs/>
                          <w:color w:val="0D0D0D" w:themeColor="text1" w:themeTint="F2"/>
                          <w:sz w:val="36"/>
                          <w:szCs w:val="22"/>
                          <w:lang w:val="es-ES_tradnl"/>
                        </w:rPr>
                        <w:t>/21</w:t>
                      </w:r>
                      <w:bookmarkStart w:id="2" w:name="_GoBack"/>
                      <w:bookmarkEnd w:id="2"/>
                    </w:p>
                    <w:p w14:paraId="34D53AA9" w14:textId="77777777" w:rsidR="00F44543" w:rsidRDefault="00F4454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1302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3382275" w14:textId="4A418CB2" w:rsidR="00F44543" w:rsidRPr="0010736F" w:rsidRDefault="00F4454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4B8EE421" w14:textId="77777777" w:rsidR="00F44543" w:rsidRPr="0010736F" w:rsidRDefault="00F44543" w:rsidP="00997BC5">
                      <w:pPr>
                        <w:spacing w:line="276" w:lineRule="auto"/>
                        <w:rPr>
                          <w:rFonts w:asciiTheme="majorHAnsi" w:hAnsiTheme="majorHAnsi" w:cs="Arial"/>
                          <w:color w:val="0D0D0D" w:themeColor="text1" w:themeTint="F2"/>
                          <w:szCs w:val="22"/>
                          <w:lang w:val="es-ES_tradnl"/>
                        </w:rPr>
                      </w:pPr>
                      <w:bookmarkStart w:id="3" w:name="_ftnref1"/>
                    </w:p>
                    <w:p w14:paraId="43D2A91E" w14:textId="77777777" w:rsidR="00F44543" w:rsidRPr="0010736F" w:rsidRDefault="00F445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ALVARO ERIK MONTES ECHEVERRÍA</w:t>
                      </w:r>
                    </w:p>
                    <w:bookmarkEnd w:id="3"/>
                    <w:p w14:paraId="03AEC9A8" w14:textId="77777777" w:rsidR="00F44543" w:rsidRPr="0010736F" w:rsidRDefault="00F4454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637AD8C4" w14:textId="77777777" w:rsidR="00F44543" w:rsidRPr="00AE5488" w:rsidRDefault="00F4454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FF38A7F" wp14:editId="0D14EEE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F6888" w14:textId="7DC9DAF9" w:rsidR="00F44543" w:rsidRPr="000F2992" w:rsidRDefault="000F2992" w:rsidP="007A5817">
                            <w:pPr>
                              <w:spacing w:line="276" w:lineRule="auto"/>
                              <w:jc w:val="right"/>
                              <w:rPr>
                                <w:rFonts w:asciiTheme="minorHAnsi" w:hAnsiTheme="minorHAnsi"/>
                                <w:color w:val="FFFFFF" w:themeColor="background1"/>
                                <w:sz w:val="22"/>
                                <w:lang w:val="es-419"/>
                              </w:rPr>
                            </w:pPr>
                            <w:r w:rsidRPr="000F2992">
                              <w:rPr>
                                <w:rFonts w:asciiTheme="minorHAnsi" w:hAnsiTheme="minorHAnsi"/>
                                <w:color w:val="FFFFFF" w:themeColor="background1"/>
                                <w:sz w:val="22"/>
                                <w:lang w:val="es-419"/>
                              </w:rPr>
                              <w:t>OEA/</w:t>
                            </w:r>
                            <w:proofErr w:type="spellStart"/>
                            <w:r w:rsidRPr="000F2992">
                              <w:rPr>
                                <w:rFonts w:asciiTheme="minorHAnsi" w:hAnsiTheme="minorHAnsi"/>
                                <w:color w:val="FFFFFF" w:themeColor="background1"/>
                                <w:sz w:val="22"/>
                                <w:lang w:val="es-419"/>
                              </w:rPr>
                              <w:t>Ser.L</w:t>
                            </w:r>
                            <w:proofErr w:type="spellEnd"/>
                            <w:r w:rsidRPr="000F2992">
                              <w:rPr>
                                <w:rFonts w:asciiTheme="minorHAnsi" w:hAnsiTheme="minorHAnsi"/>
                                <w:color w:val="FFFFFF" w:themeColor="background1"/>
                                <w:sz w:val="22"/>
                                <w:lang w:val="es-419"/>
                              </w:rPr>
                              <w:t>/V/II</w:t>
                            </w:r>
                          </w:p>
                          <w:p w14:paraId="5C5A04BE" w14:textId="13E05A50" w:rsidR="00F44543" w:rsidRPr="000F2992" w:rsidRDefault="00F44543" w:rsidP="007A5817">
                            <w:pPr>
                              <w:spacing w:line="276" w:lineRule="auto"/>
                              <w:jc w:val="right"/>
                              <w:rPr>
                                <w:rFonts w:asciiTheme="minorHAnsi" w:hAnsiTheme="minorHAnsi"/>
                                <w:color w:val="FFFFFF" w:themeColor="background1"/>
                                <w:sz w:val="22"/>
                                <w:lang w:val="es-419"/>
                              </w:rPr>
                            </w:pPr>
                            <w:r w:rsidRPr="000F2992">
                              <w:rPr>
                                <w:rFonts w:asciiTheme="minorHAnsi" w:hAnsiTheme="minorHAnsi"/>
                                <w:color w:val="FFFFFF" w:themeColor="background1"/>
                                <w:sz w:val="22"/>
                                <w:lang w:val="es-419"/>
                              </w:rPr>
                              <w:t xml:space="preserve">Doc. </w:t>
                            </w:r>
                            <w:r w:rsidR="000F2992" w:rsidRPr="000F2992">
                              <w:rPr>
                                <w:rFonts w:asciiTheme="minorHAnsi" w:hAnsiTheme="minorHAnsi"/>
                                <w:color w:val="FFFFFF" w:themeColor="background1"/>
                                <w:sz w:val="22"/>
                                <w:lang w:val="es-419"/>
                              </w:rPr>
                              <w:t>20</w:t>
                            </w:r>
                          </w:p>
                          <w:p w14:paraId="0474D6FA" w14:textId="7EC1B54A" w:rsidR="00F44543" w:rsidRPr="00C25ADB" w:rsidRDefault="000F299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marzo 2021</w:t>
                            </w:r>
                          </w:p>
                          <w:p w14:paraId="1167E228" w14:textId="77777777" w:rsidR="00F44543" w:rsidRPr="00C25ADB" w:rsidRDefault="00F4454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FF38A7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7FF6888" w14:textId="7DC9DAF9" w:rsidR="00F44543" w:rsidRPr="000F2992" w:rsidRDefault="000F2992" w:rsidP="007A5817">
                      <w:pPr>
                        <w:spacing w:line="276" w:lineRule="auto"/>
                        <w:jc w:val="right"/>
                        <w:rPr>
                          <w:rFonts w:asciiTheme="minorHAnsi" w:hAnsiTheme="minorHAnsi"/>
                          <w:color w:val="FFFFFF" w:themeColor="background1"/>
                          <w:sz w:val="22"/>
                          <w:lang w:val="es-419"/>
                        </w:rPr>
                      </w:pPr>
                      <w:r w:rsidRPr="000F2992">
                        <w:rPr>
                          <w:rFonts w:asciiTheme="minorHAnsi" w:hAnsiTheme="minorHAnsi"/>
                          <w:color w:val="FFFFFF" w:themeColor="background1"/>
                          <w:sz w:val="22"/>
                          <w:lang w:val="es-419"/>
                        </w:rPr>
                        <w:t>OEA/</w:t>
                      </w:r>
                      <w:proofErr w:type="spellStart"/>
                      <w:r w:rsidRPr="000F2992">
                        <w:rPr>
                          <w:rFonts w:asciiTheme="minorHAnsi" w:hAnsiTheme="minorHAnsi"/>
                          <w:color w:val="FFFFFF" w:themeColor="background1"/>
                          <w:sz w:val="22"/>
                          <w:lang w:val="es-419"/>
                        </w:rPr>
                        <w:t>Ser.L</w:t>
                      </w:r>
                      <w:proofErr w:type="spellEnd"/>
                      <w:r w:rsidRPr="000F2992">
                        <w:rPr>
                          <w:rFonts w:asciiTheme="minorHAnsi" w:hAnsiTheme="minorHAnsi"/>
                          <w:color w:val="FFFFFF" w:themeColor="background1"/>
                          <w:sz w:val="22"/>
                          <w:lang w:val="es-419"/>
                        </w:rPr>
                        <w:t>/V/II</w:t>
                      </w:r>
                    </w:p>
                    <w:p w14:paraId="5C5A04BE" w14:textId="13E05A50" w:rsidR="00F44543" w:rsidRPr="000F2992" w:rsidRDefault="00F44543" w:rsidP="007A5817">
                      <w:pPr>
                        <w:spacing w:line="276" w:lineRule="auto"/>
                        <w:jc w:val="right"/>
                        <w:rPr>
                          <w:rFonts w:asciiTheme="minorHAnsi" w:hAnsiTheme="minorHAnsi"/>
                          <w:color w:val="FFFFFF" w:themeColor="background1"/>
                          <w:sz w:val="22"/>
                          <w:lang w:val="es-419"/>
                        </w:rPr>
                      </w:pPr>
                      <w:r w:rsidRPr="000F2992">
                        <w:rPr>
                          <w:rFonts w:asciiTheme="minorHAnsi" w:hAnsiTheme="minorHAnsi"/>
                          <w:color w:val="FFFFFF" w:themeColor="background1"/>
                          <w:sz w:val="22"/>
                          <w:lang w:val="es-419"/>
                        </w:rPr>
                        <w:t xml:space="preserve">Doc. </w:t>
                      </w:r>
                      <w:r w:rsidR="000F2992" w:rsidRPr="000F2992">
                        <w:rPr>
                          <w:rFonts w:asciiTheme="minorHAnsi" w:hAnsiTheme="minorHAnsi"/>
                          <w:color w:val="FFFFFF" w:themeColor="background1"/>
                          <w:sz w:val="22"/>
                          <w:lang w:val="es-419"/>
                        </w:rPr>
                        <w:t>20</w:t>
                      </w:r>
                    </w:p>
                    <w:p w14:paraId="0474D6FA" w14:textId="7EC1B54A" w:rsidR="00F44543" w:rsidRPr="00C25ADB" w:rsidRDefault="000F299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marzo 2021</w:t>
                      </w:r>
                    </w:p>
                    <w:p w14:paraId="1167E228" w14:textId="77777777" w:rsidR="00F44543" w:rsidRPr="00C25ADB" w:rsidRDefault="00F4454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E011A2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558FD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7B984D"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C8E85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955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5AE1E6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D0B91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59CB9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4E48C6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EBA4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14EB1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A8B0BC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4E82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DFA9C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81F4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7DEF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52016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C17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EC3A3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824C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FCF52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956B8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4BEB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9FCA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3A31A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8EED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4450D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DE43B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D97843"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71EA3D4" wp14:editId="6D8002E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27475" w14:textId="371CD10D" w:rsidR="00F44543" w:rsidRPr="00890650" w:rsidRDefault="00F4454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F2992">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0F299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F2992">
                              <w:rPr>
                                <w:rFonts w:asciiTheme="majorHAnsi" w:hAnsiTheme="majorHAnsi"/>
                                <w:color w:val="0D0D0D" w:themeColor="text1" w:themeTint="F2"/>
                                <w:sz w:val="18"/>
                                <w:szCs w:val="22"/>
                                <w:lang w:val="es-ES"/>
                              </w:rPr>
                              <w:t>1</w:t>
                            </w:r>
                            <w:r w:rsidR="00FF613A">
                              <w:rPr>
                                <w:rFonts w:asciiTheme="majorHAnsi" w:hAnsiTheme="majorHAnsi"/>
                                <w:color w:val="0D0D0D" w:themeColor="text1" w:themeTint="F2"/>
                                <w:sz w:val="18"/>
                                <w:szCs w:val="22"/>
                                <w:lang w:val="es-ES"/>
                              </w:rPr>
                              <w:t>.</w:t>
                            </w:r>
                          </w:p>
                          <w:p w14:paraId="549A8C7C" w14:textId="77777777" w:rsidR="00F44543" w:rsidRPr="007A5817" w:rsidRDefault="00F4454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80C6509" w14:textId="77777777" w:rsidR="00F44543" w:rsidRPr="00167A34" w:rsidRDefault="00F4454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EA3D4"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2E27475" w14:textId="371CD10D" w:rsidR="00F44543" w:rsidRPr="00890650" w:rsidRDefault="00F4454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F2992">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0F299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F2992">
                        <w:rPr>
                          <w:rFonts w:asciiTheme="majorHAnsi" w:hAnsiTheme="majorHAnsi"/>
                          <w:color w:val="0D0D0D" w:themeColor="text1" w:themeTint="F2"/>
                          <w:sz w:val="18"/>
                          <w:szCs w:val="22"/>
                          <w:lang w:val="es-ES"/>
                        </w:rPr>
                        <w:t>1</w:t>
                      </w:r>
                      <w:r w:rsidR="00FF613A">
                        <w:rPr>
                          <w:rFonts w:asciiTheme="majorHAnsi" w:hAnsiTheme="majorHAnsi"/>
                          <w:color w:val="0D0D0D" w:themeColor="text1" w:themeTint="F2"/>
                          <w:sz w:val="18"/>
                          <w:szCs w:val="22"/>
                          <w:lang w:val="es-ES"/>
                        </w:rPr>
                        <w:t>.</w:t>
                      </w:r>
                    </w:p>
                    <w:p w14:paraId="549A8C7C" w14:textId="77777777" w:rsidR="00F44543" w:rsidRPr="007A5817" w:rsidRDefault="00F4454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80C6509" w14:textId="77777777" w:rsidR="00F44543" w:rsidRPr="00167A34" w:rsidRDefault="00F4454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CE76A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F040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F1CE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92F8D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617E8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2FB9681" wp14:editId="68C9BD2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04BF3" w14:textId="15157456" w:rsidR="00F44543" w:rsidRPr="007B05C4" w:rsidRDefault="00F4454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2992" w:rsidRPr="000F2992">
                              <w:rPr>
                                <w:rFonts w:asciiTheme="majorHAnsi" w:hAnsiTheme="majorHAnsi"/>
                                <w:color w:val="595959" w:themeColor="text1" w:themeTint="A6"/>
                                <w:sz w:val="18"/>
                                <w:szCs w:val="18"/>
                                <w:lang w:val="pt-BR"/>
                              </w:rPr>
                              <w:t>18</w:t>
                            </w:r>
                            <w:r w:rsidRPr="000F2992">
                              <w:rPr>
                                <w:rFonts w:asciiTheme="majorHAnsi" w:hAnsiTheme="majorHAnsi"/>
                                <w:color w:val="595959" w:themeColor="text1" w:themeTint="A6"/>
                                <w:sz w:val="18"/>
                                <w:szCs w:val="18"/>
                                <w:lang w:val="pt-BR"/>
                              </w:rPr>
                              <w:t>/</w:t>
                            </w:r>
                            <w:r w:rsidR="000F2992" w:rsidRPr="000F2992">
                              <w:rPr>
                                <w:rFonts w:asciiTheme="majorHAnsi" w:hAnsiTheme="majorHAnsi"/>
                                <w:color w:val="595959" w:themeColor="text1" w:themeTint="A6"/>
                                <w:sz w:val="18"/>
                                <w:szCs w:val="18"/>
                                <w:lang w:val="pt-BR"/>
                              </w:rPr>
                              <w:t>21</w:t>
                            </w:r>
                            <w:r w:rsidRPr="000F299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0F2992">
                              <w:rPr>
                                <w:rFonts w:asciiTheme="majorHAnsi" w:hAnsiTheme="majorHAnsi"/>
                                <w:color w:val="595959" w:themeColor="text1" w:themeTint="A6"/>
                                <w:sz w:val="18"/>
                                <w:szCs w:val="18"/>
                                <w:lang w:val="es-ES"/>
                              </w:rPr>
                              <w:t>1302</w:t>
                            </w:r>
                            <w:r>
                              <w:rPr>
                                <w:rFonts w:asciiTheme="majorHAnsi" w:hAnsiTheme="majorHAnsi"/>
                                <w:color w:val="595959" w:themeColor="text1" w:themeTint="A6"/>
                                <w:sz w:val="18"/>
                                <w:szCs w:val="18"/>
                                <w:lang w:val="es-ES"/>
                              </w:rPr>
                              <w:t>-</w:t>
                            </w:r>
                            <w:r w:rsidR="000F2992">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30878">
                              <w:rPr>
                                <w:rFonts w:asciiTheme="majorHAnsi" w:hAnsiTheme="majorHAnsi"/>
                                <w:color w:val="595959" w:themeColor="text1" w:themeTint="A6"/>
                                <w:sz w:val="18"/>
                                <w:szCs w:val="18"/>
                                <w:lang w:val="es-ES_tradnl"/>
                              </w:rPr>
                              <w:t>Alvaro Erik Montes Echeverría</w:t>
                            </w:r>
                            <w:r w:rsidRPr="00890650">
                              <w:rPr>
                                <w:rFonts w:asciiTheme="majorHAnsi" w:hAnsiTheme="majorHAnsi"/>
                                <w:color w:val="595959" w:themeColor="text1" w:themeTint="A6"/>
                                <w:sz w:val="18"/>
                                <w:szCs w:val="18"/>
                                <w:lang w:val="es-ES_tradnl"/>
                              </w:rPr>
                              <w:t xml:space="preserve">. </w:t>
                            </w:r>
                            <w:r w:rsidR="002A5CBA">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2A5CBA">
                              <w:rPr>
                                <w:rFonts w:asciiTheme="majorHAnsi" w:hAnsiTheme="majorHAnsi"/>
                                <w:color w:val="595959" w:themeColor="text1" w:themeTint="A6"/>
                                <w:sz w:val="18"/>
                                <w:szCs w:val="18"/>
                                <w:lang w:val="es-ES"/>
                              </w:rPr>
                              <w:t>2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FB96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F204BF3" w14:textId="15157456" w:rsidR="00F44543" w:rsidRPr="007B05C4" w:rsidRDefault="00F4454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2992" w:rsidRPr="000F2992">
                        <w:rPr>
                          <w:rFonts w:asciiTheme="majorHAnsi" w:hAnsiTheme="majorHAnsi"/>
                          <w:color w:val="595959" w:themeColor="text1" w:themeTint="A6"/>
                          <w:sz w:val="18"/>
                          <w:szCs w:val="18"/>
                          <w:lang w:val="pt-BR"/>
                        </w:rPr>
                        <w:t>18</w:t>
                      </w:r>
                      <w:r w:rsidRPr="000F2992">
                        <w:rPr>
                          <w:rFonts w:asciiTheme="majorHAnsi" w:hAnsiTheme="majorHAnsi"/>
                          <w:color w:val="595959" w:themeColor="text1" w:themeTint="A6"/>
                          <w:sz w:val="18"/>
                          <w:szCs w:val="18"/>
                          <w:lang w:val="pt-BR"/>
                        </w:rPr>
                        <w:t>/</w:t>
                      </w:r>
                      <w:r w:rsidR="000F2992" w:rsidRPr="000F2992">
                        <w:rPr>
                          <w:rFonts w:asciiTheme="majorHAnsi" w:hAnsiTheme="majorHAnsi"/>
                          <w:color w:val="595959" w:themeColor="text1" w:themeTint="A6"/>
                          <w:sz w:val="18"/>
                          <w:szCs w:val="18"/>
                          <w:lang w:val="pt-BR"/>
                        </w:rPr>
                        <w:t>21</w:t>
                      </w:r>
                      <w:r w:rsidRPr="000F299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0F2992">
                        <w:rPr>
                          <w:rFonts w:asciiTheme="majorHAnsi" w:hAnsiTheme="majorHAnsi"/>
                          <w:color w:val="595959" w:themeColor="text1" w:themeTint="A6"/>
                          <w:sz w:val="18"/>
                          <w:szCs w:val="18"/>
                          <w:lang w:val="es-ES"/>
                        </w:rPr>
                        <w:t>1302</w:t>
                      </w:r>
                      <w:r>
                        <w:rPr>
                          <w:rFonts w:asciiTheme="majorHAnsi" w:hAnsiTheme="majorHAnsi"/>
                          <w:color w:val="595959" w:themeColor="text1" w:themeTint="A6"/>
                          <w:sz w:val="18"/>
                          <w:szCs w:val="18"/>
                          <w:lang w:val="es-ES"/>
                        </w:rPr>
                        <w:t>-</w:t>
                      </w:r>
                      <w:r w:rsidR="000F2992">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roofErr w:type="spellStart"/>
                      <w:r w:rsidR="00F30878">
                        <w:rPr>
                          <w:rFonts w:asciiTheme="majorHAnsi" w:hAnsiTheme="majorHAnsi"/>
                          <w:color w:val="595959" w:themeColor="text1" w:themeTint="A6"/>
                          <w:sz w:val="18"/>
                          <w:szCs w:val="18"/>
                          <w:lang w:val="es-ES_tradnl"/>
                        </w:rPr>
                        <w:t>Alvaro</w:t>
                      </w:r>
                      <w:proofErr w:type="spellEnd"/>
                      <w:r w:rsidR="00F30878">
                        <w:rPr>
                          <w:rFonts w:asciiTheme="majorHAnsi" w:hAnsiTheme="majorHAnsi"/>
                          <w:color w:val="595959" w:themeColor="text1" w:themeTint="A6"/>
                          <w:sz w:val="18"/>
                          <w:szCs w:val="18"/>
                          <w:lang w:val="es-ES_tradnl"/>
                        </w:rPr>
                        <w:t xml:space="preserve"> Erik Montes Echeverría</w:t>
                      </w:r>
                      <w:r w:rsidRPr="00890650">
                        <w:rPr>
                          <w:rFonts w:asciiTheme="majorHAnsi" w:hAnsiTheme="majorHAnsi"/>
                          <w:color w:val="595959" w:themeColor="text1" w:themeTint="A6"/>
                          <w:sz w:val="18"/>
                          <w:szCs w:val="18"/>
                          <w:lang w:val="es-ES_tradnl"/>
                        </w:rPr>
                        <w:t xml:space="preserve">. </w:t>
                      </w:r>
                      <w:r w:rsidR="002A5CBA">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2A5CBA">
                        <w:rPr>
                          <w:rFonts w:asciiTheme="majorHAnsi" w:hAnsiTheme="majorHAnsi"/>
                          <w:color w:val="595959" w:themeColor="text1" w:themeTint="A6"/>
                          <w:sz w:val="18"/>
                          <w:szCs w:val="18"/>
                          <w:lang w:val="es-ES"/>
                        </w:rPr>
                        <w:t>2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0E4048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2D247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E6BAA9D" wp14:editId="237D0A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462CE" w14:textId="77777777" w:rsidR="00F44543" w:rsidRPr="00D72DC6" w:rsidRDefault="00F44543" w:rsidP="00F02AD1">
                            <w:pPr>
                              <w:rPr>
                                <w:color w:val="FFFFFF" w:themeColor="background1"/>
                                <w14:textFill>
                                  <w14:noFill/>
                                </w14:textFill>
                              </w:rPr>
                            </w:pPr>
                            <w:r>
                              <w:rPr>
                                <w:noProof/>
                                <w:color w:val="FFFFFF" w:themeColor="background1"/>
                              </w:rPr>
                              <w:drawing>
                                <wp:inline distT="0" distB="0" distL="0" distR="0" wp14:anchorId="2C076B0A" wp14:editId="33A2185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E6BAA9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A462CE" w14:textId="77777777" w:rsidR="00F44543" w:rsidRPr="00D72DC6" w:rsidRDefault="00F44543" w:rsidP="00F02AD1">
                      <w:pPr>
                        <w:rPr>
                          <w:color w:val="FFFFFF" w:themeColor="background1"/>
                          <w14:textFill>
                            <w14:noFill/>
                          </w14:textFill>
                        </w:rPr>
                      </w:pPr>
                      <w:r>
                        <w:rPr>
                          <w:noProof/>
                          <w:color w:val="FFFFFF" w:themeColor="background1"/>
                        </w:rPr>
                        <w:drawing>
                          <wp:inline distT="0" distB="0" distL="0" distR="0" wp14:anchorId="2C076B0A" wp14:editId="33A2185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EFB27BA" wp14:editId="542FCED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7BE52" w14:textId="77777777" w:rsidR="00F44543" w:rsidRPr="004B7EB6" w:rsidRDefault="00F445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EFB27B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917BE52" w14:textId="77777777" w:rsidR="00F44543" w:rsidRPr="004B7EB6" w:rsidRDefault="00F445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5DBD241"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5D1DBADD"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1FFBEA71" w14:textId="77777777" w:rsidTr="004A6A54">
        <w:tc>
          <w:tcPr>
            <w:tcW w:w="3600" w:type="dxa"/>
            <w:tcBorders>
              <w:top w:val="single" w:sz="4" w:space="0" w:color="auto"/>
              <w:bottom w:val="single" w:sz="6" w:space="0" w:color="auto"/>
            </w:tcBorders>
            <w:shd w:val="clear" w:color="auto" w:fill="386294"/>
            <w:vAlign w:val="center"/>
          </w:tcPr>
          <w:p w14:paraId="5896936A" w14:textId="77777777" w:rsidR="003239B8" w:rsidRPr="000D05CB" w:rsidRDefault="003239B8" w:rsidP="00760F7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23A22F43" w14:textId="77777777" w:rsidR="003239B8" w:rsidRPr="000D05CB" w:rsidRDefault="000003A8" w:rsidP="00760F77">
            <w:pPr>
              <w:jc w:val="both"/>
              <w:rPr>
                <w:rFonts w:ascii="Cambria" w:hAnsi="Cambria"/>
                <w:bCs/>
                <w:sz w:val="20"/>
                <w:szCs w:val="20"/>
              </w:rPr>
            </w:pPr>
            <w:r>
              <w:rPr>
                <w:rFonts w:ascii="Cambria" w:hAnsi="Cambria"/>
                <w:bCs/>
                <w:sz w:val="20"/>
                <w:szCs w:val="20"/>
              </w:rPr>
              <w:t>Alvaro Erik Montes Echeverría</w:t>
            </w:r>
          </w:p>
        </w:tc>
      </w:tr>
      <w:tr w:rsidR="003239B8" w:rsidRPr="001E49E7" w14:paraId="0171BD08" w14:textId="77777777" w:rsidTr="004A6A54">
        <w:tc>
          <w:tcPr>
            <w:tcW w:w="3600" w:type="dxa"/>
            <w:tcBorders>
              <w:top w:val="single" w:sz="6" w:space="0" w:color="auto"/>
              <w:bottom w:val="single" w:sz="6" w:space="0" w:color="auto"/>
            </w:tcBorders>
            <w:shd w:val="clear" w:color="auto" w:fill="386294"/>
            <w:vAlign w:val="center"/>
          </w:tcPr>
          <w:p w14:paraId="1E5DC75F" w14:textId="77777777" w:rsidR="003239B8" w:rsidRPr="000D05CB" w:rsidRDefault="00697C22" w:rsidP="00760F7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11C6F">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EB64495" w14:textId="77777777" w:rsidR="003239B8" w:rsidRPr="000D05CB" w:rsidRDefault="000003A8" w:rsidP="00760F77">
            <w:pPr>
              <w:jc w:val="both"/>
              <w:rPr>
                <w:rFonts w:ascii="Cambria" w:hAnsi="Cambria"/>
                <w:bCs/>
                <w:sz w:val="20"/>
                <w:szCs w:val="20"/>
                <w:lang w:val="es-ES"/>
              </w:rPr>
            </w:pPr>
            <w:r>
              <w:rPr>
                <w:rFonts w:ascii="Cambria" w:hAnsi="Cambria"/>
                <w:bCs/>
                <w:sz w:val="20"/>
                <w:szCs w:val="20"/>
              </w:rPr>
              <w:t>Alvaro Erik Montes Echeverría</w:t>
            </w:r>
          </w:p>
        </w:tc>
      </w:tr>
      <w:tr w:rsidR="003239B8" w14:paraId="5B61FCFA" w14:textId="77777777" w:rsidTr="004A6A54">
        <w:tc>
          <w:tcPr>
            <w:tcW w:w="3600" w:type="dxa"/>
            <w:tcBorders>
              <w:top w:val="single" w:sz="6" w:space="0" w:color="auto"/>
              <w:bottom w:val="single" w:sz="6" w:space="0" w:color="auto"/>
            </w:tcBorders>
            <w:shd w:val="clear" w:color="auto" w:fill="386294"/>
            <w:vAlign w:val="center"/>
          </w:tcPr>
          <w:p w14:paraId="036D9887" w14:textId="77777777" w:rsidR="003239B8" w:rsidRPr="000D05CB" w:rsidRDefault="003239B8" w:rsidP="00760F7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E812480" w14:textId="77777777" w:rsidR="003239B8" w:rsidRPr="000D05CB" w:rsidRDefault="00F10D38" w:rsidP="00760F77">
            <w:pPr>
              <w:jc w:val="both"/>
              <w:rPr>
                <w:rFonts w:ascii="Cambria" w:hAnsi="Cambria"/>
                <w:bCs/>
                <w:sz w:val="20"/>
                <w:szCs w:val="20"/>
              </w:rPr>
            </w:pPr>
            <w:r>
              <w:rPr>
                <w:rFonts w:ascii="Cambria" w:hAnsi="Cambria"/>
                <w:bCs/>
                <w:sz w:val="20"/>
                <w:szCs w:val="20"/>
              </w:rPr>
              <w:t>Guatemala</w:t>
            </w:r>
            <w:r w:rsidR="004A6A54" w:rsidRPr="000D05CB">
              <w:rPr>
                <w:rStyle w:val="FootnoteReference"/>
                <w:rFonts w:ascii="Cambria" w:hAnsi="Cambria"/>
                <w:bCs/>
                <w:sz w:val="20"/>
                <w:szCs w:val="20"/>
              </w:rPr>
              <w:footnoteReference w:id="2"/>
            </w:r>
          </w:p>
        </w:tc>
      </w:tr>
      <w:tr w:rsidR="00223A29" w:rsidRPr="00C37D9C" w14:paraId="13CC3BA4" w14:textId="77777777" w:rsidTr="004A6A54">
        <w:tc>
          <w:tcPr>
            <w:tcW w:w="3600" w:type="dxa"/>
            <w:tcBorders>
              <w:top w:val="single" w:sz="6" w:space="0" w:color="auto"/>
              <w:bottom w:val="single" w:sz="6" w:space="0" w:color="auto"/>
            </w:tcBorders>
            <w:shd w:val="clear" w:color="auto" w:fill="386294"/>
            <w:vAlign w:val="center"/>
          </w:tcPr>
          <w:p w14:paraId="5932DF6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0FB0FC50" w14:textId="3B049892" w:rsidR="00223A29" w:rsidRPr="000523A3" w:rsidRDefault="00417691" w:rsidP="00760F77">
            <w:pPr>
              <w:jc w:val="both"/>
              <w:rPr>
                <w:rFonts w:ascii="Cambria" w:hAnsi="Cambria"/>
                <w:bCs/>
                <w:color w:val="FF0000"/>
                <w:sz w:val="20"/>
                <w:szCs w:val="20"/>
                <w:lang w:val="es-419"/>
              </w:rPr>
            </w:pPr>
            <w:r w:rsidRPr="000523A3">
              <w:rPr>
                <w:rFonts w:ascii="Cambria" w:hAnsi="Cambria"/>
                <w:bCs/>
                <w:sz w:val="20"/>
                <w:szCs w:val="20"/>
                <w:lang w:val="es-419"/>
              </w:rPr>
              <w:t>Artículo 8</w:t>
            </w:r>
            <w:r w:rsidR="005035AD" w:rsidRPr="000523A3">
              <w:rPr>
                <w:rFonts w:ascii="Cambria" w:hAnsi="Cambria"/>
                <w:bCs/>
                <w:sz w:val="20"/>
                <w:szCs w:val="20"/>
                <w:lang w:val="es-419"/>
              </w:rPr>
              <w:t xml:space="preserve"> (</w:t>
            </w:r>
            <w:r w:rsidR="00C37D9C" w:rsidRPr="000523A3">
              <w:rPr>
                <w:rFonts w:ascii="Cambria" w:hAnsi="Cambria"/>
                <w:bCs/>
                <w:sz w:val="20"/>
                <w:szCs w:val="20"/>
                <w:lang w:val="es-419"/>
              </w:rPr>
              <w:t>garantías</w:t>
            </w:r>
            <w:r w:rsidR="005035AD" w:rsidRPr="000523A3">
              <w:rPr>
                <w:rFonts w:ascii="Cambria" w:hAnsi="Cambria"/>
                <w:bCs/>
                <w:sz w:val="20"/>
                <w:szCs w:val="20"/>
                <w:lang w:val="es-419"/>
              </w:rPr>
              <w:t xml:space="preserve"> judiciales)</w:t>
            </w:r>
            <w:r w:rsidR="006E3874" w:rsidRPr="000523A3">
              <w:rPr>
                <w:rFonts w:ascii="Cambria" w:hAnsi="Cambria"/>
                <w:bCs/>
                <w:sz w:val="20"/>
                <w:szCs w:val="20"/>
                <w:lang w:val="es-419"/>
              </w:rPr>
              <w:t xml:space="preserve"> de la Convención Americana </w:t>
            </w:r>
            <w:r w:rsidR="005035AD" w:rsidRPr="000523A3">
              <w:rPr>
                <w:rFonts w:ascii="Cambria" w:hAnsi="Cambria"/>
                <w:bCs/>
                <w:sz w:val="20"/>
                <w:szCs w:val="20"/>
                <w:lang w:val="es-419"/>
              </w:rPr>
              <w:t>sobre los Derechos Humanos</w:t>
            </w:r>
            <w:r w:rsidR="005035AD" w:rsidRPr="005035AD">
              <w:rPr>
                <w:rStyle w:val="FootnoteReference"/>
                <w:rFonts w:ascii="Cambria" w:hAnsi="Cambria"/>
                <w:bCs/>
                <w:sz w:val="20"/>
                <w:szCs w:val="20"/>
                <w:lang w:val="pt-BR"/>
              </w:rPr>
              <w:footnoteReference w:id="3"/>
            </w:r>
            <w:r w:rsidR="005035AD" w:rsidRPr="000523A3">
              <w:rPr>
                <w:rFonts w:ascii="Cambria" w:hAnsi="Cambria"/>
                <w:bCs/>
                <w:sz w:val="20"/>
                <w:szCs w:val="20"/>
                <w:lang w:val="es-419"/>
              </w:rPr>
              <w:t xml:space="preserve"> y otros tratados</w:t>
            </w:r>
            <w:r w:rsidR="006E3874" w:rsidRPr="005035AD">
              <w:rPr>
                <w:rStyle w:val="FootnoteReference"/>
                <w:rFonts w:ascii="Cambria" w:hAnsi="Cambria"/>
                <w:bCs/>
                <w:sz w:val="20"/>
                <w:szCs w:val="20"/>
                <w:lang w:val="pt-BR"/>
              </w:rPr>
              <w:footnoteReference w:id="4"/>
            </w:r>
          </w:p>
        </w:tc>
      </w:tr>
    </w:tbl>
    <w:p w14:paraId="1D18CD5C"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6D2328EE" w14:textId="77777777" w:rsidTr="004A6A54">
        <w:tc>
          <w:tcPr>
            <w:tcW w:w="3600" w:type="dxa"/>
            <w:tcBorders>
              <w:top w:val="single" w:sz="6" w:space="0" w:color="auto"/>
              <w:bottom w:val="single" w:sz="6" w:space="0" w:color="auto"/>
            </w:tcBorders>
            <w:shd w:val="clear" w:color="auto" w:fill="386294"/>
            <w:vAlign w:val="center"/>
          </w:tcPr>
          <w:p w14:paraId="5B8B008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7EA077DC" w14:textId="77777777" w:rsidR="004C2312" w:rsidRPr="003239B8" w:rsidRDefault="00B81CA3" w:rsidP="00760F77">
            <w:pPr>
              <w:jc w:val="both"/>
              <w:rPr>
                <w:rFonts w:ascii="Cambria" w:hAnsi="Cambria"/>
                <w:bCs/>
                <w:sz w:val="20"/>
                <w:szCs w:val="20"/>
                <w:lang w:val="es-ES"/>
              </w:rPr>
            </w:pPr>
            <w:r>
              <w:rPr>
                <w:rFonts w:ascii="Cambria" w:hAnsi="Cambria"/>
                <w:bCs/>
                <w:sz w:val="20"/>
                <w:szCs w:val="20"/>
                <w:lang w:val="es-ES"/>
              </w:rPr>
              <w:t>6 de noviembre de 2008</w:t>
            </w:r>
          </w:p>
        </w:tc>
      </w:tr>
      <w:tr w:rsidR="00131425" w:rsidRPr="00C37D9C" w14:paraId="48ECE97C" w14:textId="77777777" w:rsidTr="004A6A54">
        <w:tc>
          <w:tcPr>
            <w:tcW w:w="3600" w:type="dxa"/>
            <w:tcBorders>
              <w:top w:val="single" w:sz="6" w:space="0" w:color="auto"/>
              <w:bottom w:val="single" w:sz="6" w:space="0" w:color="auto"/>
            </w:tcBorders>
            <w:shd w:val="clear" w:color="auto" w:fill="386294"/>
            <w:vAlign w:val="center"/>
          </w:tcPr>
          <w:p w14:paraId="78E635F5"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2B0EFD1" w14:textId="24F30760" w:rsidR="00131425" w:rsidRPr="003239B8" w:rsidRDefault="0066591C" w:rsidP="00760F77">
            <w:pPr>
              <w:jc w:val="both"/>
              <w:rPr>
                <w:rFonts w:ascii="Cambria" w:hAnsi="Cambria"/>
                <w:bCs/>
                <w:sz w:val="20"/>
                <w:szCs w:val="20"/>
                <w:lang w:val="es-ES"/>
              </w:rPr>
            </w:pPr>
            <w:r>
              <w:rPr>
                <w:rFonts w:ascii="Cambria" w:hAnsi="Cambria"/>
                <w:bCs/>
                <w:sz w:val="20"/>
                <w:szCs w:val="20"/>
                <w:lang w:val="es-ES"/>
              </w:rPr>
              <w:t>4 de noviembre de 2011;</w:t>
            </w:r>
            <w:r w:rsidR="00A60D24">
              <w:rPr>
                <w:rFonts w:ascii="Cambria" w:hAnsi="Cambria"/>
                <w:bCs/>
                <w:sz w:val="20"/>
                <w:szCs w:val="20"/>
                <w:lang w:val="es-ES"/>
              </w:rPr>
              <w:t xml:space="preserve"> 5 de diciembre de 2011;</w:t>
            </w:r>
            <w:r>
              <w:rPr>
                <w:rFonts w:ascii="Cambria" w:hAnsi="Cambria"/>
                <w:bCs/>
                <w:sz w:val="20"/>
                <w:szCs w:val="20"/>
                <w:lang w:val="es-ES"/>
              </w:rPr>
              <w:t xml:space="preserve"> </w:t>
            </w:r>
            <w:r w:rsidR="00414138">
              <w:rPr>
                <w:rFonts w:ascii="Cambria" w:hAnsi="Cambria"/>
                <w:bCs/>
                <w:sz w:val="20"/>
                <w:szCs w:val="20"/>
                <w:lang w:val="es-ES"/>
              </w:rPr>
              <w:t>4 de junio de 2012</w:t>
            </w:r>
            <w:r>
              <w:rPr>
                <w:rFonts w:ascii="Cambria" w:hAnsi="Cambria"/>
                <w:bCs/>
                <w:sz w:val="20"/>
                <w:szCs w:val="20"/>
                <w:lang w:val="es-ES"/>
              </w:rPr>
              <w:t>; 29 de marzo de 2012; 4 de junio de 2012; 26 de marzo de 2013; 24 de junio de 2014; 25 de agosto de 2014;</w:t>
            </w:r>
            <w:r w:rsidR="000B00B0">
              <w:rPr>
                <w:rFonts w:ascii="Cambria" w:hAnsi="Cambria"/>
                <w:bCs/>
                <w:sz w:val="20"/>
                <w:szCs w:val="20"/>
                <w:lang w:val="es-ES"/>
              </w:rPr>
              <w:t xml:space="preserve"> 4 de septiembre de 2014;</w:t>
            </w:r>
            <w:r>
              <w:rPr>
                <w:rFonts w:ascii="Cambria" w:hAnsi="Cambria"/>
                <w:bCs/>
                <w:sz w:val="20"/>
                <w:szCs w:val="20"/>
                <w:lang w:val="es-ES"/>
              </w:rPr>
              <w:t xml:space="preserve"> </w:t>
            </w:r>
            <w:r w:rsidR="00417691">
              <w:rPr>
                <w:rFonts w:ascii="Cambria" w:hAnsi="Cambria"/>
                <w:bCs/>
                <w:sz w:val="20"/>
                <w:szCs w:val="20"/>
                <w:lang w:val="es-ES"/>
              </w:rPr>
              <w:t xml:space="preserve">3 de octubre de 2014; </w:t>
            </w:r>
            <w:r w:rsidR="00F201DC">
              <w:rPr>
                <w:rFonts w:ascii="Cambria" w:hAnsi="Cambria"/>
                <w:bCs/>
                <w:sz w:val="20"/>
                <w:szCs w:val="20"/>
                <w:lang w:val="es-ES"/>
              </w:rPr>
              <w:t xml:space="preserve">12 de febrero de 2015; </w:t>
            </w:r>
            <w:r>
              <w:rPr>
                <w:rFonts w:ascii="Cambria" w:hAnsi="Cambria"/>
                <w:bCs/>
                <w:sz w:val="20"/>
                <w:szCs w:val="20"/>
                <w:lang w:val="es-ES"/>
              </w:rPr>
              <w:t xml:space="preserve">30 de febrero de 2015; 23 de marzo de 2015; 30 de marzo de 2015; </w:t>
            </w:r>
            <w:r w:rsidR="00B65D4F">
              <w:rPr>
                <w:rFonts w:ascii="Cambria" w:hAnsi="Cambria"/>
                <w:bCs/>
                <w:sz w:val="20"/>
                <w:szCs w:val="20"/>
                <w:lang w:val="es-ES"/>
              </w:rPr>
              <w:t xml:space="preserve">y </w:t>
            </w:r>
            <w:r>
              <w:rPr>
                <w:rFonts w:ascii="Cambria" w:hAnsi="Cambria"/>
                <w:bCs/>
                <w:sz w:val="20"/>
                <w:szCs w:val="20"/>
                <w:lang w:val="es-ES"/>
              </w:rPr>
              <w:t>8 de julio de 2015</w:t>
            </w:r>
          </w:p>
        </w:tc>
      </w:tr>
      <w:tr w:rsidR="004C2312" w:rsidRPr="00682B53" w14:paraId="6CBA5BD7" w14:textId="77777777" w:rsidTr="004A6A54">
        <w:tc>
          <w:tcPr>
            <w:tcW w:w="3600" w:type="dxa"/>
            <w:tcBorders>
              <w:top w:val="single" w:sz="6" w:space="0" w:color="auto"/>
              <w:bottom w:val="single" w:sz="6" w:space="0" w:color="auto"/>
            </w:tcBorders>
            <w:shd w:val="clear" w:color="auto" w:fill="386294"/>
            <w:vAlign w:val="center"/>
          </w:tcPr>
          <w:p w14:paraId="43C61B9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21DCFD1" w14:textId="77777777" w:rsidR="004C2312" w:rsidRPr="003239B8" w:rsidRDefault="00F201DC" w:rsidP="00760F77">
            <w:pPr>
              <w:jc w:val="both"/>
              <w:rPr>
                <w:rFonts w:ascii="Cambria" w:hAnsi="Cambria"/>
                <w:bCs/>
                <w:sz w:val="20"/>
                <w:szCs w:val="20"/>
                <w:lang w:val="es-ES"/>
              </w:rPr>
            </w:pPr>
            <w:r>
              <w:rPr>
                <w:rFonts w:ascii="Cambria" w:hAnsi="Cambria"/>
                <w:bCs/>
                <w:sz w:val="20"/>
                <w:szCs w:val="20"/>
                <w:lang w:val="es-ES"/>
              </w:rPr>
              <w:t>30 de noviembre de 2016</w:t>
            </w:r>
          </w:p>
        </w:tc>
      </w:tr>
      <w:tr w:rsidR="004C2312" w:rsidRPr="004A6A54" w14:paraId="5AC8DD64" w14:textId="77777777" w:rsidTr="004A6A54">
        <w:tc>
          <w:tcPr>
            <w:tcW w:w="3600" w:type="dxa"/>
            <w:tcBorders>
              <w:top w:val="single" w:sz="6" w:space="0" w:color="auto"/>
              <w:bottom w:val="single" w:sz="6" w:space="0" w:color="auto"/>
            </w:tcBorders>
            <w:shd w:val="clear" w:color="auto" w:fill="386294"/>
            <w:vAlign w:val="center"/>
          </w:tcPr>
          <w:p w14:paraId="44623BE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07A1871B" w14:textId="772D5CE3" w:rsidR="004C2312" w:rsidRPr="003239B8" w:rsidRDefault="004614CA" w:rsidP="00760F77">
            <w:pPr>
              <w:jc w:val="both"/>
              <w:rPr>
                <w:rFonts w:ascii="Cambria" w:hAnsi="Cambria"/>
                <w:bCs/>
                <w:sz w:val="20"/>
                <w:szCs w:val="20"/>
                <w:lang w:val="es-ES"/>
              </w:rPr>
            </w:pPr>
            <w:r>
              <w:rPr>
                <w:rFonts w:ascii="Cambria" w:hAnsi="Cambria"/>
                <w:bCs/>
                <w:sz w:val="20"/>
                <w:szCs w:val="20"/>
                <w:lang w:val="es-ES"/>
              </w:rPr>
              <w:t>2 de octubre de 2017</w:t>
            </w:r>
          </w:p>
        </w:tc>
      </w:tr>
      <w:tr w:rsidR="004C2312" w:rsidRPr="00C37D9C" w14:paraId="69511ABB" w14:textId="77777777" w:rsidTr="004A6A54">
        <w:tc>
          <w:tcPr>
            <w:tcW w:w="3600" w:type="dxa"/>
            <w:tcBorders>
              <w:top w:val="single" w:sz="6" w:space="0" w:color="auto"/>
              <w:bottom w:val="single" w:sz="6" w:space="0" w:color="auto"/>
            </w:tcBorders>
            <w:shd w:val="clear" w:color="auto" w:fill="386294"/>
            <w:vAlign w:val="center"/>
          </w:tcPr>
          <w:p w14:paraId="66E2233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0C6DBF50" w14:textId="2ABD7394" w:rsidR="004C2312" w:rsidRPr="003239B8" w:rsidRDefault="004614CA" w:rsidP="009E4C65">
            <w:pPr>
              <w:jc w:val="both"/>
              <w:rPr>
                <w:rFonts w:ascii="Cambria" w:hAnsi="Cambria"/>
                <w:bCs/>
                <w:sz w:val="20"/>
                <w:szCs w:val="20"/>
                <w:lang w:val="es-ES"/>
              </w:rPr>
            </w:pPr>
            <w:r>
              <w:rPr>
                <w:rFonts w:ascii="Cambria" w:hAnsi="Cambria"/>
                <w:bCs/>
                <w:sz w:val="20"/>
                <w:szCs w:val="20"/>
                <w:lang w:val="es-ES"/>
              </w:rPr>
              <w:t xml:space="preserve">18 de octubre de 2017, 26 de noviembre de 2018, 29 de mayo de 2019 </w:t>
            </w:r>
            <w:r w:rsidR="00B65D4F">
              <w:rPr>
                <w:rFonts w:ascii="Cambria" w:hAnsi="Cambria"/>
                <w:bCs/>
                <w:sz w:val="20"/>
                <w:szCs w:val="20"/>
                <w:lang w:val="es-ES"/>
              </w:rPr>
              <w:t xml:space="preserve">y </w:t>
            </w:r>
            <w:r>
              <w:rPr>
                <w:rFonts w:ascii="Cambria" w:hAnsi="Cambria"/>
                <w:bCs/>
                <w:sz w:val="20"/>
                <w:szCs w:val="20"/>
                <w:lang w:val="es-ES"/>
              </w:rPr>
              <w:t>26 de junio de 2020</w:t>
            </w:r>
          </w:p>
        </w:tc>
      </w:tr>
    </w:tbl>
    <w:p w14:paraId="73F0B9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7"/>
        <w:gridCol w:w="5818"/>
      </w:tblGrid>
      <w:tr w:rsidR="003239B8" w:rsidRPr="00540F17" w14:paraId="6E27798A" w14:textId="77777777" w:rsidTr="00E15BE1">
        <w:trPr>
          <w:cantSplit/>
        </w:trPr>
        <w:tc>
          <w:tcPr>
            <w:tcW w:w="3567" w:type="dxa"/>
            <w:tcBorders>
              <w:top w:val="single" w:sz="4" w:space="0" w:color="auto"/>
              <w:bottom w:val="single" w:sz="6" w:space="0" w:color="auto"/>
            </w:tcBorders>
            <w:shd w:val="clear" w:color="auto" w:fill="386294"/>
            <w:vAlign w:val="center"/>
          </w:tcPr>
          <w:p w14:paraId="7505756A" w14:textId="77777777" w:rsidR="003239B8" w:rsidRPr="00B3745F" w:rsidRDefault="003239B8" w:rsidP="00760F77">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818" w:type="dxa"/>
            <w:vAlign w:val="center"/>
          </w:tcPr>
          <w:p w14:paraId="6D764AFB" w14:textId="5C2EEB81" w:rsidR="003239B8" w:rsidRPr="00B3745F" w:rsidRDefault="004D268A" w:rsidP="00760F77">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819EA8D" w14:textId="77777777" w:rsidTr="00E15BE1">
        <w:trPr>
          <w:cantSplit/>
        </w:trPr>
        <w:tc>
          <w:tcPr>
            <w:tcW w:w="3567" w:type="dxa"/>
            <w:tcBorders>
              <w:top w:val="single" w:sz="6" w:space="0" w:color="auto"/>
              <w:bottom w:val="single" w:sz="6" w:space="0" w:color="auto"/>
            </w:tcBorders>
            <w:shd w:val="clear" w:color="auto" w:fill="386294"/>
            <w:vAlign w:val="center"/>
          </w:tcPr>
          <w:p w14:paraId="7B6E94CC" w14:textId="77777777" w:rsidR="003239B8" w:rsidRPr="00B3745F" w:rsidRDefault="003239B8" w:rsidP="00760F77">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818" w:type="dxa"/>
            <w:vAlign w:val="center"/>
          </w:tcPr>
          <w:p w14:paraId="5C4F4514" w14:textId="2C07F2CF" w:rsidR="003239B8" w:rsidRPr="00B3745F" w:rsidRDefault="004D268A" w:rsidP="00760F77">
            <w:pPr>
              <w:rPr>
                <w:rFonts w:ascii="Cambria" w:hAnsi="Cambria"/>
                <w:bCs/>
                <w:sz w:val="20"/>
                <w:szCs w:val="20"/>
              </w:rPr>
            </w:pPr>
            <w:proofErr w:type="spellStart"/>
            <w:r>
              <w:rPr>
                <w:rFonts w:ascii="Cambria" w:hAnsi="Cambria"/>
                <w:bCs/>
                <w:sz w:val="20"/>
                <w:szCs w:val="20"/>
              </w:rPr>
              <w:t>Sí</w:t>
            </w:r>
            <w:proofErr w:type="spellEnd"/>
          </w:p>
        </w:tc>
      </w:tr>
      <w:tr w:rsidR="003239B8" w:rsidRPr="00C37D9C" w14:paraId="699EC758" w14:textId="77777777" w:rsidTr="00E15BE1">
        <w:trPr>
          <w:cantSplit/>
        </w:trPr>
        <w:tc>
          <w:tcPr>
            <w:tcW w:w="3567" w:type="dxa"/>
            <w:tcBorders>
              <w:top w:val="single" w:sz="6" w:space="0" w:color="auto"/>
              <w:bottom w:val="single" w:sz="6" w:space="0" w:color="auto"/>
            </w:tcBorders>
            <w:shd w:val="clear" w:color="auto" w:fill="386294"/>
            <w:vAlign w:val="center"/>
          </w:tcPr>
          <w:p w14:paraId="45481EB4" w14:textId="77777777" w:rsidR="003239B8" w:rsidRPr="00B3745F" w:rsidRDefault="003239B8" w:rsidP="00760F77">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818" w:type="dxa"/>
            <w:vAlign w:val="center"/>
          </w:tcPr>
          <w:p w14:paraId="7ACEC66A" w14:textId="4E0B17A2" w:rsidR="003239B8" w:rsidRPr="000523A3" w:rsidRDefault="004D268A" w:rsidP="00760F77">
            <w:pPr>
              <w:rPr>
                <w:rFonts w:ascii="Cambria" w:hAnsi="Cambria"/>
                <w:bCs/>
                <w:sz w:val="20"/>
                <w:szCs w:val="20"/>
                <w:lang w:val="es-419"/>
              </w:rPr>
            </w:pPr>
            <w:r w:rsidRPr="000523A3">
              <w:rPr>
                <w:rFonts w:ascii="Cambria" w:hAnsi="Cambria"/>
                <w:bCs/>
                <w:sz w:val="20"/>
                <w:szCs w:val="20"/>
                <w:lang w:val="es-419"/>
              </w:rPr>
              <w:t xml:space="preserve">Sí, </w:t>
            </w:r>
            <w:r w:rsidR="005035AD" w:rsidRPr="000523A3">
              <w:rPr>
                <w:rFonts w:ascii="Cambria" w:hAnsi="Cambria"/>
                <w:bCs/>
                <w:sz w:val="20"/>
                <w:szCs w:val="20"/>
                <w:lang w:val="es-419"/>
              </w:rPr>
              <w:t>Convención Americana (instrumento adoptado el 25 de mayo de 1978)</w:t>
            </w:r>
            <w:r w:rsidRPr="000523A3">
              <w:rPr>
                <w:rFonts w:ascii="Cambria" w:hAnsi="Cambria"/>
                <w:bCs/>
                <w:sz w:val="20"/>
                <w:szCs w:val="20"/>
                <w:lang w:val="es-419"/>
              </w:rPr>
              <w:t xml:space="preserve"> </w:t>
            </w:r>
          </w:p>
        </w:tc>
      </w:tr>
      <w:tr w:rsidR="003239B8" w:rsidRPr="001E49E7" w14:paraId="47A12997" w14:textId="77777777" w:rsidTr="00E15BE1">
        <w:trPr>
          <w:cantSplit/>
        </w:trPr>
        <w:tc>
          <w:tcPr>
            <w:tcW w:w="3567" w:type="dxa"/>
            <w:tcBorders>
              <w:top w:val="single" w:sz="6" w:space="0" w:color="auto"/>
              <w:bottom w:val="single" w:sz="6" w:space="0" w:color="auto"/>
            </w:tcBorders>
            <w:shd w:val="clear" w:color="auto" w:fill="386294"/>
            <w:vAlign w:val="center"/>
          </w:tcPr>
          <w:p w14:paraId="0B52581C" w14:textId="77777777" w:rsidR="003239B8" w:rsidRPr="00B3745F" w:rsidRDefault="003239B8" w:rsidP="00760F77">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818" w:type="dxa"/>
            <w:vAlign w:val="center"/>
          </w:tcPr>
          <w:p w14:paraId="710AD52E" w14:textId="2DAFBF10" w:rsidR="003239B8" w:rsidRPr="00B3745F" w:rsidRDefault="004D268A" w:rsidP="00760F77">
            <w:pPr>
              <w:jc w:val="both"/>
              <w:rPr>
                <w:rFonts w:ascii="Cambria" w:hAnsi="Cambria"/>
                <w:bCs/>
                <w:sz w:val="20"/>
                <w:szCs w:val="20"/>
                <w:lang w:val="es-ES"/>
              </w:rPr>
            </w:pPr>
            <w:r>
              <w:rPr>
                <w:rFonts w:ascii="Cambria" w:hAnsi="Cambria"/>
                <w:bCs/>
                <w:sz w:val="20"/>
                <w:szCs w:val="20"/>
                <w:lang w:val="es-ES"/>
              </w:rPr>
              <w:t>Sí</w:t>
            </w:r>
          </w:p>
        </w:tc>
      </w:tr>
    </w:tbl>
    <w:p w14:paraId="0CC564A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7"/>
        <w:gridCol w:w="5818"/>
      </w:tblGrid>
      <w:tr w:rsidR="00EE00E9" w:rsidRPr="006E3874" w14:paraId="5A2DD775" w14:textId="77777777" w:rsidTr="004D268A">
        <w:trPr>
          <w:cantSplit/>
        </w:trPr>
        <w:tc>
          <w:tcPr>
            <w:tcW w:w="3567" w:type="dxa"/>
            <w:tcBorders>
              <w:top w:val="single" w:sz="4" w:space="0" w:color="auto"/>
              <w:bottom w:val="single" w:sz="6" w:space="0" w:color="auto"/>
            </w:tcBorders>
            <w:shd w:val="clear" w:color="auto" w:fill="386294"/>
            <w:vAlign w:val="center"/>
          </w:tcPr>
          <w:p w14:paraId="0BB2B8CE" w14:textId="77777777" w:rsidR="00EE00E9" w:rsidRPr="00DC24E3" w:rsidRDefault="00EE00E9" w:rsidP="00760F7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818" w:type="dxa"/>
            <w:vAlign w:val="center"/>
          </w:tcPr>
          <w:p w14:paraId="6268666A" w14:textId="3D63414F" w:rsidR="00EE00E9" w:rsidRPr="00DC24E3" w:rsidRDefault="004D268A" w:rsidP="00760F77">
            <w:pPr>
              <w:jc w:val="both"/>
              <w:rPr>
                <w:rFonts w:ascii="Cambria" w:hAnsi="Cambria"/>
                <w:bCs/>
                <w:sz w:val="20"/>
                <w:szCs w:val="20"/>
                <w:lang w:val="es-ES"/>
              </w:rPr>
            </w:pPr>
            <w:r>
              <w:rPr>
                <w:rFonts w:ascii="Cambria" w:hAnsi="Cambria"/>
                <w:bCs/>
                <w:sz w:val="20"/>
                <w:szCs w:val="20"/>
                <w:lang w:val="es-ES"/>
              </w:rPr>
              <w:t>No</w:t>
            </w:r>
          </w:p>
        </w:tc>
      </w:tr>
      <w:tr w:rsidR="003239B8" w:rsidRPr="002021CE" w14:paraId="13AD8AD3" w14:textId="77777777" w:rsidTr="004D268A">
        <w:trPr>
          <w:cantSplit/>
        </w:trPr>
        <w:tc>
          <w:tcPr>
            <w:tcW w:w="3567" w:type="dxa"/>
            <w:tcBorders>
              <w:top w:val="single" w:sz="4" w:space="0" w:color="auto"/>
              <w:bottom w:val="single" w:sz="6" w:space="0" w:color="auto"/>
            </w:tcBorders>
            <w:shd w:val="clear" w:color="auto" w:fill="386294"/>
            <w:vAlign w:val="center"/>
          </w:tcPr>
          <w:p w14:paraId="2BAF9360" w14:textId="77777777" w:rsidR="003239B8" w:rsidRPr="00DC24E3" w:rsidRDefault="003239B8" w:rsidP="00760F77">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818" w:type="dxa"/>
            <w:vAlign w:val="center"/>
          </w:tcPr>
          <w:p w14:paraId="09B5849F" w14:textId="51A63C04" w:rsidR="003239B8" w:rsidRPr="00DC24E3" w:rsidRDefault="004D268A" w:rsidP="00760F77">
            <w:pPr>
              <w:jc w:val="both"/>
              <w:rPr>
                <w:rFonts w:ascii="Cambria" w:hAnsi="Cambria"/>
                <w:bCs/>
                <w:sz w:val="20"/>
                <w:szCs w:val="20"/>
              </w:rPr>
            </w:pPr>
            <w:r>
              <w:rPr>
                <w:rFonts w:ascii="Cambria" w:hAnsi="Cambria"/>
                <w:bCs/>
                <w:sz w:val="20"/>
                <w:szCs w:val="20"/>
              </w:rPr>
              <w:t>No se aplica</w:t>
            </w:r>
          </w:p>
        </w:tc>
      </w:tr>
      <w:tr w:rsidR="003239B8" w:rsidRPr="006E3874" w14:paraId="5E2075F7" w14:textId="77777777" w:rsidTr="004D268A">
        <w:trPr>
          <w:cantSplit/>
        </w:trPr>
        <w:tc>
          <w:tcPr>
            <w:tcW w:w="3567" w:type="dxa"/>
            <w:tcBorders>
              <w:top w:val="single" w:sz="6" w:space="0" w:color="auto"/>
              <w:bottom w:val="single" w:sz="6" w:space="0" w:color="auto"/>
            </w:tcBorders>
            <w:shd w:val="clear" w:color="auto" w:fill="386294"/>
            <w:vAlign w:val="center"/>
          </w:tcPr>
          <w:p w14:paraId="03B389F0" w14:textId="77777777" w:rsidR="003239B8" w:rsidRPr="00DC24E3" w:rsidRDefault="003239B8" w:rsidP="00760F7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818" w:type="dxa"/>
            <w:vAlign w:val="center"/>
          </w:tcPr>
          <w:p w14:paraId="19BF6207" w14:textId="1817A83E" w:rsidR="003239B8" w:rsidRPr="00DC24E3" w:rsidRDefault="004D268A" w:rsidP="00760F77">
            <w:pPr>
              <w:rPr>
                <w:rFonts w:ascii="Cambria" w:hAnsi="Cambria"/>
                <w:bCs/>
                <w:sz w:val="20"/>
                <w:szCs w:val="20"/>
                <w:lang w:val="es-ES"/>
              </w:rPr>
            </w:pPr>
            <w:r>
              <w:rPr>
                <w:rFonts w:ascii="Cambria" w:hAnsi="Cambria"/>
                <w:bCs/>
                <w:sz w:val="20"/>
                <w:szCs w:val="20"/>
                <w:lang w:val="es-ES"/>
              </w:rPr>
              <w:t>No</w:t>
            </w:r>
          </w:p>
        </w:tc>
      </w:tr>
      <w:tr w:rsidR="003239B8" w:rsidRPr="00B2155F" w14:paraId="2F72C155" w14:textId="77777777" w:rsidTr="004D268A">
        <w:trPr>
          <w:cantSplit/>
        </w:trPr>
        <w:tc>
          <w:tcPr>
            <w:tcW w:w="3567" w:type="dxa"/>
            <w:tcBorders>
              <w:top w:val="single" w:sz="6" w:space="0" w:color="auto"/>
              <w:bottom w:val="single" w:sz="6" w:space="0" w:color="auto"/>
            </w:tcBorders>
            <w:shd w:val="clear" w:color="auto" w:fill="386294"/>
            <w:vAlign w:val="center"/>
          </w:tcPr>
          <w:p w14:paraId="1E5A7341" w14:textId="77777777" w:rsidR="003239B8" w:rsidRPr="00DC24E3" w:rsidRDefault="003239B8" w:rsidP="00760F77">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818" w:type="dxa"/>
            <w:vAlign w:val="center"/>
          </w:tcPr>
          <w:p w14:paraId="0F043505" w14:textId="233B82E9" w:rsidR="003239B8" w:rsidRPr="00DC24E3" w:rsidRDefault="004D268A" w:rsidP="00760F77">
            <w:pPr>
              <w:rPr>
                <w:rFonts w:ascii="Cambria" w:hAnsi="Cambria"/>
                <w:bCs/>
                <w:sz w:val="20"/>
                <w:szCs w:val="20"/>
              </w:rPr>
            </w:pPr>
            <w:r>
              <w:rPr>
                <w:rFonts w:ascii="Cambria" w:hAnsi="Cambria"/>
                <w:bCs/>
                <w:sz w:val="20"/>
                <w:szCs w:val="20"/>
              </w:rPr>
              <w:t>No se aplica</w:t>
            </w:r>
          </w:p>
        </w:tc>
      </w:tr>
    </w:tbl>
    <w:p w14:paraId="606F9C6A" w14:textId="77777777" w:rsidR="003239B8" w:rsidRPr="00B81CA3"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B81CA3">
        <w:rPr>
          <w:rFonts w:asciiTheme="majorHAnsi" w:hAnsiTheme="majorHAnsi"/>
          <w:b/>
          <w:sz w:val="20"/>
          <w:szCs w:val="20"/>
          <w:lang w:val="es-UY"/>
        </w:rPr>
        <w:t xml:space="preserve">HECHOS ALEGADOS </w:t>
      </w:r>
    </w:p>
    <w:p w14:paraId="15E9C5F1" w14:textId="2310A2A8" w:rsidR="006E3874" w:rsidRPr="004D268A" w:rsidRDefault="00B81CA3" w:rsidP="006E387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B81CA3">
        <w:rPr>
          <w:rFonts w:asciiTheme="majorHAnsi" w:hAnsiTheme="majorHAnsi"/>
          <w:sz w:val="20"/>
          <w:szCs w:val="20"/>
          <w:lang w:val="es-419"/>
        </w:rPr>
        <w:t>El señor Alvaro Erik Montes Echeverría</w:t>
      </w:r>
      <w:r w:rsidR="00B65D4F">
        <w:rPr>
          <w:rFonts w:asciiTheme="majorHAnsi" w:hAnsiTheme="majorHAnsi"/>
          <w:sz w:val="20"/>
          <w:szCs w:val="20"/>
          <w:lang w:val="es-419"/>
        </w:rPr>
        <w:t xml:space="preserve"> (en adelante </w:t>
      </w:r>
      <w:r w:rsidR="00011A80">
        <w:rPr>
          <w:rFonts w:asciiTheme="majorHAnsi" w:hAnsiTheme="majorHAnsi"/>
          <w:sz w:val="20"/>
          <w:szCs w:val="20"/>
          <w:lang w:val="es-419"/>
        </w:rPr>
        <w:t>“</w:t>
      </w:r>
      <w:r w:rsidR="00011A80" w:rsidRPr="00B81CA3">
        <w:rPr>
          <w:rFonts w:asciiTheme="majorHAnsi" w:hAnsiTheme="majorHAnsi"/>
          <w:sz w:val="20"/>
          <w:szCs w:val="20"/>
          <w:lang w:val="es-419"/>
        </w:rPr>
        <w:t>la</w:t>
      </w:r>
      <w:r w:rsidR="00B65D4F">
        <w:rPr>
          <w:rFonts w:asciiTheme="majorHAnsi" w:hAnsiTheme="majorHAnsi"/>
          <w:sz w:val="20"/>
          <w:szCs w:val="20"/>
          <w:lang w:val="es-419"/>
        </w:rPr>
        <w:t xml:space="preserve"> </w:t>
      </w:r>
      <w:r w:rsidRPr="00B81CA3">
        <w:rPr>
          <w:rFonts w:asciiTheme="majorHAnsi" w:hAnsiTheme="majorHAnsi"/>
          <w:sz w:val="20"/>
          <w:szCs w:val="20"/>
          <w:lang w:val="es-419"/>
        </w:rPr>
        <w:t>presunta víctima</w:t>
      </w:r>
      <w:r w:rsidR="00B65D4F">
        <w:rPr>
          <w:rFonts w:asciiTheme="majorHAnsi" w:hAnsiTheme="majorHAnsi"/>
          <w:sz w:val="20"/>
          <w:szCs w:val="20"/>
          <w:lang w:val="es-419"/>
        </w:rPr>
        <w:t>”)</w:t>
      </w:r>
      <w:r w:rsidRPr="00B81CA3">
        <w:rPr>
          <w:rFonts w:asciiTheme="majorHAnsi" w:hAnsiTheme="majorHAnsi"/>
          <w:sz w:val="20"/>
          <w:szCs w:val="20"/>
          <w:lang w:val="es-419"/>
        </w:rPr>
        <w:t>, afirma que el Estado de Guatemala violó su derecho al debido</w:t>
      </w:r>
      <w:r>
        <w:rPr>
          <w:rFonts w:asciiTheme="majorHAnsi" w:hAnsiTheme="majorHAnsi"/>
          <w:sz w:val="20"/>
          <w:szCs w:val="20"/>
          <w:lang w:val="es-419"/>
        </w:rPr>
        <w:t xml:space="preserve"> proceso</w:t>
      </w:r>
      <w:r w:rsidR="004D268A">
        <w:rPr>
          <w:rFonts w:asciiTheme="majorHAnsi" w:hAnsiTheme="majorHAnsi"/>
          <w:sz w:val="20"/>
          <w:szCs w:val="20"/>
          <w:lang w:val="es-419"/>
        </w:rPr>
        <w:t xml:space="preserve"> en los </w:t>
      </w:r>
      <w:r w:rsidR="00B65D4F">
        <w:rPr>
          <w:rFonts w:asciiTheme="majorHAnsi" w:hAnsiTheme="majorHAnsi"/>
          <w:sz w:val="20"/>
          <w:szCs w:val="20"/>
          <w:lang w:val="es-419"/>
        </w:rPr>
        <w:t>juicios</w:t>
      </w:r>
      <w:r w:rsidR="004D268A">
        <w:rPr>
          <w:rFonts w:asciiTheme="majorHAnsi" w:hAnsiTheme="majorHAnsi"/>
          <w:sz w:val="20"/>
          <w:szCs w:val="20"/>
          <w:lang w:val="es-419"/>
        </w:rPr>
        <w:t xml:space="preserve"> penales en su contra, pues </w:t>
      </w:r>
      <w:r w:rsidR="00B65D4F">
        <w:rPr>
          <w:rFonts w:asciiTheme="majorHAnsi" w:hAnsiTheme="majorHAnsi"/>
          <w:sz w:val="20"/>
          <w:szCs w:val="20"/>
          <w:lang w:val="es-419"/>
        </w:rPr>
        <w:t>hubo</w:t>
      </w:r>
      <w:r w:rsidR="004D268A">
        <w:rPr>
          <w:rFonts w:asciiTheme="majorHAnsi" w:hAnsiTheme="majorHAnsi"/>
          <w:sz w:val="20"/>
          <w:szCs w:val="20"/>
          <w:lang w:val="es-419"/>
        </w:rPr>
        <w:t xml:space="preserve"> persecución </w:t>
      </w:r>
      <w:r w:rsidR="00B65D4F">
        <w:rPr>
          <w:rFonts w:asciiTheme="majorHAnsi" w:hAnsiTheme="majorHAnsi"/>
          <w:sz w:val="20"/>
          <w:szCs w:val="20"/>
          <w:lang w:val="es-419"/>
        </w:rPr>
        <w:t xml:space="preserve">en su contra </w:t>
      </w:r>
      <w:r w:rsidR="004D268A">
        <w:rPr>
          <w:rFonts w:asciiTheme="majorHAnsi" w:hAnsiTheme="majorHAnsi"/>
          <w:sz w:val="20"/>
          <w:szCs w:val="20"/>
          <w:lang w:val="es-419"/>
        </w:rPr>
        <w:t xml:space="preserve">por parte del Estado debido a sus declaraciones en contra los directores del </w:t>
      </w:r>
      <w:r w:rsidR="004D268A" w:rsidRPr="00B81CA3">
        <w:rPr>
          <w:rFonts w:asciiTheme="majorHAnsi" w:hAnsiTheme="majorHAnsi"/>
          <w:sz w:val="20"/>
          <w:szCs w:val="20"/>
          <w:lang w:val="es-419"/>
        </w:rPr>
        <w:t xml:space="preserve">Banco de </w:t>
      </w:r>
      <w:r w:rsidR="00B65D4F">
        <w:rPr>
          <w:rFonts w:asciiTheme="majorHAnsi" w:hAnsiTheme="majorHAnsi"/>
          <w:sz w:val="20"/>
          <w:szCs w:val="20"/>
          <w:lang w:val="es-419"/>
        </w:rPr>
        <w:t>l</w:t>
      </w:r>
      <w:r w:rsidR="004D268A" w:rsidRPr="00B81CA3">
        <w:rPr>
          <w:rFonts w:asciiTheme="majorHAnsi" w:hAnsiTheme="majorHAnsi"/>
          <w:sz w:val="20"/>
          <w:szCs w:val="20"/>
          <w:lang w:val="es-419"/>
        </w:rPr>
        <w:t>os Trabajadores</w:t>
      </w:r>
      <w:r w:rsidRPr="00B81CA3">
        <w:rPr>
          <w:rFonts w:asciiTheme="majorHAnsi" w:hAnsiTheme="majorHAnsi"/>
          <w:sz w:val="20"/>
          <w:szCs w:val="20"/>
          <w:lang w:val="es-419"/>
        </w:rPr>
        <w:t xml:space="preserve">. </w:t>
      </w:r>
      <w:r w:rsidR="009E4C65">
        <w:rPr>
          <w:rFonts w:asciiTheme="majorHAnsi" w:hAnsiTheme="majorHAnsi"/>
          <w:sz w:val="20"/>
          <w:szCs w:val="20"/>
          <w:lang w:val="es-419"/>
        </w:rPr>
        <w:t>Menciona</w:t>
      </w:r>
      <w:r w:rsidRPr="00B81CA3">
        <w:rPr>
          <w:rFonts w:asciiTheme="majorHAnsi" w:hAnsiTheme="majorHAnsi"/>
          <w:sz w:val="20"/>
          <w:szCs w:val="20"/>
          <w:lang w:val="es-419"/>
        </w:rPr>
        <w:t xml:space="preserve"> que fue Director Titular de la Junta Directiva del Banco de </w:t>
      </w:r>
      <w:r w:rsidR="00B65D4F">
        <w:rPr>
          <w:rFonts w:asciiTheme="majorHAnsi" w:hAnsiTheme="majorHAnsi"/>
          <w:sz w:val="20"/>
          <w:szCs w:val="20"/>
          <w:lang w:val="es-419"/>
        </w:rPr>
        <w:t>l</w:t>
      </w:r>
      <w:r w:rsidRPr="00B81CA3">
        <w:rPr>
          <w:rFonts w:asciiTheme="majorHAnsi" w:hAnsiTheme="majorHAnsi"/>
          <w:sz w:val="20"/>
          <w:szCs w:val="20"/>
          <w:lang w:val="es-419"/>
        </w:rPr>
        <w:t>os Trabajadores</w:t>
      </w:r>
      <w:r w:rsidR="00414138">
        <w:rPr>
          <w:rFonts w:asciiTheme="majorHAnsi" w:hAnsiTheme="majorHAnsi"/>
          <w:sz w:val="20"/>
          <w:szCs w:val="20"/>
          <w:lang w:val="es-419"/>
        </w:rPr>
        <w:t xml:space="preserve"> y líder sindical</w:t>
      </w:r>
      <w:r w:rsidRPr="00B81CA3">
        <w:rPr>
          <w:rFonts w:asciiTheme="majorHAnsi" w:hAnsiTheme="majorHAnsi"/>
          <w:sz w:val="20"/>
          <w:szCs w:val="20"/>
          <w:lang w:val="es-419"/>
        </w:rPr>
        <w:t xml:space="preserve"> y que</w:t>
      </w:r>
      <w:r w:rsidR="00B65D4F">
        <w:rPr>
          <w:rFonts w:asciiTheme="majorHAnsi" w:hAnsiTheme="majorHAnsi"/>
          <w:sz w:val="20"/>
          <w:szCs w:val="20"/>
          <w:lang w:val="es-419"/>
        </w:rPr>
        <w:t>,</w:t>
      </w:r>
      <w:r w:rsidRPr="00B81CA3">
        <w:rPr>
          <w:rFonts w:asciiTheme="majorHAnsi" w:hAnsiTheme="majorHAnsi"/>
          <w:sz w:val="20"/>
          <w:szCs w:val="20"/>
          <w:lang w:val="es-419"/>
        </w:rPr>
        <w:t xml:space="preserve"> debido a las </w:t>
      </w:r>
      <w:r w:rsidR="0057141D" w:rsidRPr="004D268A">
        <w:rPr>
          <w:rFonts w:asciiTheme="majorHAnsi" w:hAnsiTheme="majorHAnsi"/>
          <w:sz w:val="20"/>
          <w:szCs w:val="20"/>
          <w:lang w:val="es-419"/>
        </w:rPr>
        <w:t>actividades</w:t>
      </w:r>
      <w:r w:rsidRPr="004D268A">
        <w:rPr>
          <w:rFonts w:asciiTheme="majorHAnsi" w:hAnsiTheme="majorHAnsi"/>
          <w:sz w:val="20"/>
          <w:szCs w:val="20"/>
          <w:lang w:val="es-419"/>
        </w:rPr>
        <w:t xml:space="preserve"> que desempeñaba, fue perseguido </w:t>
      </w:r>
      <w:r w:rsidR="00B65D4F" w:rsidRPr="004D268A">
        <w:rPr>
          <w:rFonts w:asciiTheme="majorHAnsi" w:hAnsiTheme="majorHAnsi"/>
          <w:sz w:val="20"/>
          <w:szCs w:val="20"/>
          <w:lang w:val="es-419"/>
        </w:rPr>
        <w:t>políticamente</w:t>
      </w:r>
      <w:r w:rsidRPr="004D268A">
        <w:rPr>
          <w:rFonts w:asciiTheme="majorHAnsi" w:hAnsiTheme="majorHAnsi"/>
          <w:sz w:val="20"/>
          <w:szCs w:val="20"/>
          <w:lang w:val="es-419"/>
        </w:rPr>
        <w:t xml:space="preserve"> por agentes </w:t>
      </w:r>
      <w:r w:rsidR="00B65D4F">
        <w:rPr>
          <w:rFonts w:asciiTheme="majorHAnsi" w:hAnsiTheme="majorHAnsi"/>
          <w:sz w:val="20"/>
          <w:szCs w:val="20"/>
          <w:lang w:val="es-419"/>
        </w:rPr>
        <w:t>e</w:t>
      </w:r>
      <w:r w:rsidRPr="004D268A">
        <w:rPr>
          <w:rFonts w:asciiTheme="majorHAnsi" w:hAnsiTheme="majorHAnsi"/>
          <w:sz w:val="20"/>
          <w:szCs w:val="20"/>
          <w:lang w:val="es-419"/>
        </w:rPr>
        <w:t>statales que arma</w:t>
      </w:r>
      <w:r w:rsidR="00B65D4F">
        <w:rPr>
          <w:rFonts w:asciiTheme="majorHAnsi" w:hAnsiTheme="majorHAnsi"/>
          <w:sz w:val="20"/>
          <w:szCs w:val="20"/>
          <w:lang w:val="es-419"/>
        </w:rPr>
        <w:t>ron</w:t>
      </w:r>
      <w:r w:rsidRPr="004D268A">
        <w:rPr>
          <w:rFonts w:asciiTheme="majorHAnsi" w:hAnsiTheme="majorHAnsi"/>
          <w:sz w:val="20"/>
          <w:szCs w:val="20"/>
          <w:lang w:val="es-419"/>
        </w:rPr>
        <w:t xml:space="preserve"> causas penales en su contra</w:t>
      </w:r>
      <w:r w:rsidR="009E4C65">
        <w:rPr>
          <w:rFonts w:asciiTheme="majorHAnsi" w:hAnsiTheme="majorHAnsi"/>
          <w:sz w:val="20"/>
          <w:szCs w:val="20"/>
          <w:lang w:val="es-419"/>
        </w:rPr>
        <w:t>;</w:t>
      </w:r>
      <w:r w:rsidR="004346AB" w:rsidRPr="004D268A">
        <w:rPr>
          <w:rFonts w:asciiTheme="majorHAnsi" w:hAnsiTheme="majorHAnsi"/>
          <w:sz w:val="20"/>
          <w:szCs w:val="20"/>
          <w:lang w:val="es-419"/>
        </w:rPr>
        <w:t xml:space="preserve"> </w:t>
      </w:r>
      <w:r w:rsidR="009E4C65">
        <w:rPr>
          <w:rFonts w:asciiTheme="majorHAnsi" w:hAnsiTheme="majorHAnsi"/>
          <w:sz w:val="20"/>
          <w:szCs w:val="20"/>
          <w:lang w:val="es-419"/>
        </w:rPr>
        <w:t>denuncia asimismo que</w:t>
      </w:r>
      <w:r w:rsidR="004346AB" w:rsidRPr="004D268A">
        <w:rPr>
          <w:rFonts w:asciiTheme="majorHAnsi" w:hAnsiTheme="majorHAnsi"/>
          <w:sz w:val="20"/>
          <w:szCs w:val="20"/>
          <w:lang w:val="es-419"/>
        </w:rPr>
        <w:t xml:space="preserve"> fue perseguido por hombres armados y que </w:t>
      </w:r>
      <w:r w:rsidR="004346AB" w:rsidRPr="004D268A">
        <w:rPr>
          <w:rFonts w:asciiTheme="majorHAnsi" w:hAnsiTheme="majorHAnsi"/>
          <w:sz w:val="20"/>
          <w:szCs w:val="20"/>
          <w:lang w:val="es-419"/>
        </w:rPr>
        <w:lastRenderedPageBreak/>
        <w:t>su vivienda es constantemente vigilada</w:t>
      </w:r>
      <w:r w:rsidRPr="004D268A">
        <w:rPr>
          <w:rFonts w:asciiTheme="majorHAnsi" w:hAnsiTheme="majorHAnsi"/>
          <w:sz w:val="20"/>
          <w:szCs w:val="20"/>
          <w:lang w:val="es-419"/>
        </w:rPr>
        <w:t>.</w:t>
      </w:r>
      <w:r w:rsidR="00045C7D" w:rsidRPr="004D268A">
        <w:rPr>
          <w:rFonts w:asciiTheme="majorHAnsi" w:hAnsiTheme="majorHAnsi"/>
          <w:sz w:val="20"/>
          <w:szCs w:val="20"/>
          <w:lang w:val="es-419"/>
        </w:rPr>
        <w:t xml:space="preserve"> </w:t>
      </w:r>
      <w:r w:rsidRPr="004D268A">
        <w:rPr>
          <w:rFonts w:asciiTheme="majorHAnsi" w:hAnsiTheme="majorHAnsi"/>
          <w:sz w:val="20"/>
          <w:szCs w:val="20"/>
          <w:lang w:val="es-419"/>
        </w:rPr>
        <w:t xml:space="preserve">Según la </w:t>
      </w:r>
      <w:r w:rsidR="009E4C65">
        <w:rPr>
          <w:rFonts w:asciiTheme="majorHAnsi" w:hAnsiTheme="majorHAnsi"/>
          <w:sz w:val="20"/>
          <w:szCs w:val="20"/>
          <w:lang w:val="es-419"/>
        </w:rPr>
        <w:t>presunta víctima</w:t>
      </w:r>
      <w:r w:rsidRPr="004D268A">
        <w:rPr>
          <w:rFonts w:asciiTheme="majorHAnsi" w:hAnsiTheme="majorHAnsi"/>
          <w:sz w:val="20"/>
          <w:szCs w:val="20"/>
          <w:lang w:val="es-419"/>
        </w:rPr>
        <w:t xml:space="preserve">, el Estado de Guatemala </w:t>
      </w:r>
      <w:r w:rsidR="009E4C65">
        <w:rPr>
          <w:rFonts w:asciiTheme="majorHAnsi" w:hAnsiTheme="majorHAnsi"/>
          <w:sz w:val="20"/>
          <w:szCs w:val="20"/>
          <w:lang w:val="es-419"/>
        </w:rPr>
        <w:t>inició</w:t>
      </w:r>
      <w:r w:rsidRPr="004D268A">
        <w:rPr>
          <w:rFonts w:asciiTheme="majorHAnsi" w:hAnsiTheme="majorHAnsi"/>
          <w:sz w:val="20"/>
          <w:szCs w:val="20"/>
          <w:lang w:val="es-419"/>
        </w:rPr>
        <w:t xml:space="preserve"> </w:t>
      </w:r>
      <w:r w:rsidR="00787141" w:rsidRPr="004D268A">
        <w:rPr>
          <w:rFonts w:asciiTheme="majorHAnsi" w:hAnsiTheme="majorHAnsi"/>
          <w:sz w:val="20"/>
          <w:szCs w:val="20"/>
          <w:lang w:val="es-419"/>
        </w:rPr>
        <w:t xml:space="preserve">dos </w:t>
      </w:r>
      <w:r w:rsidRPr="004D268A">
        <w:rPr>
          <w:rFonts w:asciiTheme="majorHAnsi" w:hAnsiTheme="majorHAnsi"/>
          <w:sz w:val="20"/>
          <w:szCs w:val="20"/>
          <w:lang w:val="es-419"/>
        </w:rPr>
        <w:t xml:space="preserve">causas penales </w:t>
      </w:r>
      <w:r w:rsidR="003A60C1" w:rsidRPr="004D268A">
        <w:rPr>
          <w:rFonts w:asciiTheme="majorHAnsi" w:hAnsiTheme="majorHAnsi"/>
          <w:sz w:val="20"/>
          <w:szCs w:val="20"/>
          <w:lang w:val="es-419"/>
        </w:rPr>
        <w:t>en su contra</w:t>
      </w:r>
      <w:r w:rsidR="0083726F" w:rsidRPr="004D268A">
        <w:rPr>
          <w:rFonts w:asciiTheme="majorHAnsi" w:hAnsiTheme="majorHAnsi"/>
          <w:sz w:val="20"/>
          <w:szCs w:val="20"/>
          <w:lang w:val="es-419"/>
        </w:rPr>
        <w:t xml:space="preserve">, </w:t>
      </w:r>
      <w:r w:rsidR="009E4C65">
        <w:rPr>
          <w:rFonts w:asciiTheme="majorHAnsi" w:hAnsiTheme="majorHAnsi"/>
          <w:sz w:val="20"/>
          <w:szCs w:val="20"/>
          <w:lang w:val="es-419"/>
        </w:rPr>
        <w:t xml:space="preserve">luego que </w:t>
      </w:r>
      <w:r w:rsidR="0083726F" w:rsidRPr="004D268A">
        <w:rPr>
          <w:rFonts w:asciiTheme="majorHAnsi" w:hAnsiTheme="majorHAnsi"/>
          <w:sz w:val="20"/>
          <w:szCs w:val="20"/>
          <w:lang w:val="es-419"/>
        </w:rPr>
        <w:t>h</w:t>
      </w:r>
      <w:r w:rsidR="009E4C65">
        <w:rPr>
          <w:rFonts w:asciiTheme="majorHAnsi" w:hAnsiTheme="majorHAnsi"/>
          <w:sz w:val="20"/>
          <w:szCs w:val="20"/>
          <w:lang w:val="es-419"/>
        </w:rPr>
        <w:t>ubiera</w:t>
      </w:r>
      <w:r w:rsidR="0083726F" w:rsidRPr="004D268A">
        <w:rPr>
          <w:rFonts w:asciiTheme="majorHAnsi" w:hAnsiTheme="majorHAnsi"/>
          <w:sz w:val="20"/>
          <w:szCs w:val="20"/>
          <w:lang w:val="es-419"/>
        </w:rPr>
        <w:t xml:space="preserve"> denunciado un fraude entre los directores del Banco de </w:t>
      </w:r>
      <w:r w:rsidR="009E4C65">
        <w:rPr>
          <w:rFonts w:asciiTheme="majorHAnsi" w:hAnsiTheme="majorHAnsi"/>
          <w:sz w:val="20"/>
          <w:szCs w:val="20"/>
          <w:lang w:val="es-419"/>
        </w:rPr>
        <w:t>l</w:t>
      </w:r>
      <w:r w:rsidR="0083726F" w:rsidRPr="004D268A">
        <w:rPr>
          <w:rFonts w:asciiTheme="majorHAnsi" w:hAnsiTheme="majorHAnsi"/>
          <w:sz w:val="20"/>
          <w:szCs w:val="20"/>
          <w:lang w:val="es-419"/>
        </w:rPr>
        <w:t>os Trabajadores</w:t>
      </w:r>
      <w:r w:rsidR="009E4C65">
        <w:rPr>
          <w:rFonts w:asciiTheme="majorHAnsi" w:hAnsiTheme="majorHAnsi"/>
          <w:sz w:val="20"/>
          <w:szCs w:val="20"/>
          <w:lang w:val="es-419"/>
        </w:rPr>
        <w:t>;</w:t>
      </w:r>
      <w:r w:rsidR="00C71E2D" w:rsidRPr="004D268A">
        <w:rPr>
          <w:rFonts w:asciiTheme="majorHAnsi" w:hAnsiTheme="majorHAnsi"/>
          <w:sz w:val="20"/>
          <w:szCs w:val="20"/>
          <w:lang w:val="es-419"/>
        </w:rPr>
        <w:t xml:space="preserve"> y que en esas causas penales fue acusado por los mismos delitos, personas, objetos y circunstancias</w:t>
      </w:r>
      <w:r w:rsidR="003C14D1" w:rsidRPr="004D268A">
        <w:rPr>
          <w:rFonts w:asciiTheme="majorHAnsi" w:hAnsiTheme="majorHAnsi"/>
          <w:sz w:val="20"/>
          <w:szCs w:val="20"/>
          <w:lang w:val="es-419"/>
        </w:rPr>
        <w:t xml:space="preserve">, sin que el Ministerio </w:t>
      </w:r>
      <w:r w:rsidR="009E4C65">
        <w:rPr>
          <w:rFonts w:asciiTheme="majorHAnsi" w:hAnsiTheme="majorHAnsi"/>
          <w:sz w:val="20"/>
          <w:szCs w:val="20"/>
          <w:lang w:val="es-419"/>
        </w:rPr>
        <w:t>Público</w:t>
      </w:r>
      <w:r w:rsidR="003C14D1" w:rsidRPr="004D268A">
        <w:rPr>
          <w:rFonts w:asciiTheme="majorHAnsi" w:hAnsiTheme="majorHAnsi"/>
          <w:sz w:val="20"/>
          <w:szCs w:val="20"/>
          <w:lang w:val="es-419"/>
        </w:rPr>
        <w:t xml:space="preserve"> presentara prueba material </w:t>
      </w:r>
      <w:r w:rsidR="009E4C65">
        <w:rPr>
          <w:rFonts w:asciiTheme="majorHAnsi" w:hAnsiTheme="majorHAnsi"/>
          <w:sz w:val="20"/>
          <w:szCs w:val="20"/>
          <w:lang w:val="es-419"/>
        </w:rPr>
        <w:t xml:space="preserve">alguna </w:t>
      </w:r>
      <w:r w:rsidR="003C14D1" w:rsidRPr="004D268A">
        <w:rPr>
          <w:rFonts w:asciiTheme="majorHAnsi" w:hAnsiTheme="majorHAnsi"/>
          <w:sz w:val="20"/>
          <w:szCs w:val="20"/>
          <w:lang w:val="es-419"/>
        </w:rPr>
        <w:t>de las acciones antijurídicas de su parte</w:t>
      </w:r>
      <w:r w:rsidR="003A60C1" w:rsidRPr="004D268A">
        <w:rPr>
          <w:rFonts w:asciiTheme="majorHAnsi" w:hAnsiTheme="majorHAnsi"/>
          <w:sz w:val="20"/>
          <w:szCs w:val="20"/>
          <w:lang w:val="es-419"/>
        </w:rPr>
        <w:t xml:space="preserve">. </w:t>
      </w:r>
    </w:p>
    <w:p w14:paraId="7F68083F" w14:textId="4FEF71E6" w:rsidR="006E3874" w:rsidRPr="004D268A" w:rsidRDefault="00045C7D" w:rsidP="006E387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0D2AFE">
        <w:rPr>
          <w:rFonts w:asciiTheme="majorHAnsi" w:hAnsiTheme="majorHAnsi"/>
          <w:bCs/>
          <w:sz w:val="20"/>
          <w:szCs w:val="20"/>
          <w:lang w:val="es-419"/>
        </w:rPr>
        <w:t>Con relación a la primera causa</w:t>
      </w:r>
      <w:r w:rsidRPr="004D268A">
        <w:rPr>
          <w:rFonts w:asciiTheme="majorHAnsi" w:hAnsiTheme="majorHAnsi"/>
          <w:sz w:val="20"/>
          <w:szCs w:val="20"/>
          <w:lang w:val="es-419"/>
        </w:rPr>
        <w:t xml:space="preserve">, </w:t>
      </w:r>
      <w:r w:rsidR="009E4C65">
        <w:rPr>
          <w:rFonts w:asciiTheme="majorHAnsi" w:hAnsiTheme="majorHAnsi"/>
          <w:sz w:val="20"/>
          <w:szCs w:val="20"/>
          <w:lang w:val="es-419"/>
        </w:rPr>
        <w:t xml:space="preserve">la presunta víctima </w:t>
      </w:r>
      <w:r w:rsidRPr="004D268A">
        <w:rPr>
          <w:rFonts w:asciiTheme="majorHAnsi" w:hAnsiTheme="majorHAnsi"/>
          <w:sz w:val="20"/>
          <w:szCs w:val="20"/>
          <w:lang w:val="es-419"/>
        </w:rPr>
        <w:t>afirma que</w:t>
      </w:r>
      <w:r w:rsidR="0083726F" w:rsidRPr="004D268A">
        <w:rPr>
          <w:rFonts w:asciiTheme="majorHAnsi" w:hAnsiTheme="majorHAnsi"/>
          <w:sz w:val="20"/>
          <w:szCs w:val="20"/>
          <w:lang w:val="es-419"/>
        </w:rPr>
        <w:t xml:space="preserve"> el 17 de abril de 2007, </w:t>
      </w:r>
      <w:r w:rsidR="004A75B5" w:rsidRPr="004D268A">
        <w:rPr>
          <w:rFonts w:asciiTheme="majorHAnsi" w:hAnsiTheme="majorHAnsi"/>
          <w:sz w:val="20"/>
          <w:szCs w:val="20"/>
          <w:lang w:val="es-419"/>
        </w:rPr>
        <w:t>el Banco de los Trabajadores lo denu</w:t>
      </w:r>
      <w:r w:rsidR="009E4C65">
        <w:rPr>
          <w:rFonts w:asciiTheme="majorHAnsi" w:hAnsiTheme="majorHAnsi"/>
          <w:sz w:val="20"/>
          <w:szCs w:val="20"/>
          <w:lang w:val="es-419"/>
        </w:rPr>
        <w:t>n</w:t>
      </w:r>
      <w:r w:rsidR="004A75B5" w:rsidRPr="004D268A">
        <w:rPr>
          <w:rFonts w:asciiTheme="majorHAnsi" w:hAnsiTheme="majorHAnsi"/>
          <w:sz w:val="20"/>
          <w:szCs w:val="20"/>
          <w:lang w:val="es-419"/>
        </w:rPr>
        <w:t xml:space="preserve">ció </w:t>
      </w:r>
      <w:r w:rsidR="009E4C65">
        <w:rPr>
          <w:rFonts w:asciiTheme="majorHAnsi" w:hAnsiTheme="majorHAnsi"/>
          <w:sz w:val="20"/>
          <w:szCs w:val="20"/>
          <w:lang w:val="es-419"/>
        </w:rPr>
        <w:t>junto a otras personas ante el</w:t>
      </w:r>
      <w:r w:rsidR="004A75B5" w:rsidRPr="004D268A">
        <w:rPr>
          <w:rFonts w:asciiTheme="majorHAnsi" w:hAnsiTheme="majorHAnsi"/>
          <w:sz w:val="20"/>
          <w:szCs w:val="20"/>
          <w:lang w:val="es-419"/>
        </w:rPr>
        <w:t xml:space="preserve"> Ministerio Público por los supuestos delitos de sust</w:t>
      </w:r>
      <w:r w:rsidR="009E4C65">
        <w:rPr>
          <w:rFonts w:asciiTheme="majorHAnsi" w:hAnsiTheme="majorHAnsi"/>
          <w:sz w:val="20"/>
          <w:szCs w:val="20"/>
          <w:lang w:val="es-419"/>
        </w:rPr>
        <w:t>r</w:t>
      </w:r>
      <w:r w:rsidR="004A75B5" w:rsidRPr="004D268A">
        <w:rPr>
          <w:rFonts w:asciiTheme="majorHAnsi" w:hAnsiTheme="majorHAnsi"/>
          <w:sz w:val="20"/>
          <w:szCs w:val="20"/>
          <w:lang w:val="es-419"/>
        </w:rPr>
        <w:t>acción, desv</w:t>
      </w:r>
      <w:r w:rsidR="009E4C65">
        <w:rPr>
          <w:rFonts w:asciiTheme="majorHAnsi" w:hAnsiTheme="majorHAnsi"/>
          <w:sz w:val="20"/>
          <w:szCs w:val="20"/>
          <w:lang w:val="es-419"/>
        </w:rPr>
        <w:t>ío</w:t>
      </w:r>
      <w:r w:rsidR="004A75B5" w:rsidRPr="004D268A">
        <w:rPr>
          <w:rFonts w:asciiTheme="majorHAnsi" w:hAnsiTheme="majorHAnsi"/>
          <w:sz w:val="20"/>
          <w:szCs w:val="20"/>
          <w:lang w:val="es-419"/>
        </w:rPr>
        <w:t xml:space="preserve"> o supresión de correspondencia y hurto agravado. El Ministerio Público radicó la acusación ante el Juzgado de Instancia Penal, Narcoactividad y Delitos contra el Ambiente del Departamento de </w:t>
      </w:r>
      <w:r w:rsidR="0057141D" w:rsidRPr="004D268A">
        <w:rPr>
          <w:rFonts w:asciiTheme="majorHAnsi" w:hAnsiTheme="majorHAnsi"/>
          <w:sz w:val="20"/>
          <w:szCs w:val="20"/>
          <w:lang w:val="es-419"/>
        </w:rPr>
        <w:t>Sacatepéquez</w:t>
      </w:r>
      <w:r w:rsidR="004A75B5" w:rsidRPr="004D268A">
        <w:rPr>
          <w:rFonts w:asciiTheme="majorHAnsi" w:hAnsiTheme="majorHAnsi"/>
          <w:sz w:val="20"/>
          <w:szCs w:val="20"/>
          <w:lang w:val="es-419"/>
        </w:rPr>
        <w:t xml:space="preserve"> de la Antigua Guatemala y, </w:t>
      </w:r>
      <w:r w:rsidR="009E4C65" w:rsidRPr="004D268A">
        <w:rPr>
          <w:rFonts w:asciiTheme="majorHAnsi" w:hAnsiTheme="majorHAnsi"/>
          <w:sz w:val="20"/>
          <w:szCs w:val="20"/>
          <w:lang w:val="es-419"/>
        </w:rPr>
        <w:t>posteriormente</w:t>
      </w:r>
      <w:r w:rsidR="004A75B5" w:rsidRPr="004D268A">
        <w:rPr>
          <w:rFonts w:asciiTheme="majorHAnsi" w:hAnsiTheme="majorHAnsi"/>
          <w:sz w:val="20"/>
          <w:szCs w:val="20"/>
          <w:lang w:val="es-419"/>
        </w:rPr>
        <w:t xml:space="preserve">, </w:t>
      </w:r>
      <w:r w:rsidR="009E4C65">
        <w:rPr>
          <w:rFonts w:asciiTheme="majorHAnsi" w:hAnsiTheme="majorHAnsi"/>
          <w:sz w:val="20"/>
          <w:szCs w:val="20"/>
          <w:lang w:val="es-419"/>
        </w:rPr>
        <w:t xml:space="preserve">la </w:t>
      </w:r>
      <w:r w:rsidR="004A75B5" w:rsidRPr="004D268A">
        <w:rPr>
          <w:rFonts w:asciiTheme="majorHAnsi" w:hAnsiTheme="majorHAnsi"/>
          <w:sz w:val="20"/>
          <w:szCs w:val="20"/>
          <w:lang w:val="es-419"/>
        </w:rPr>
        <w:t>amplió a otros delitos.</w:t>
      </w:r>
      <w:r w:rsidR="008E62F0" w:rsidRPr="004D268A">
        <w:rPr>
          <w:rFonts w:asciiTheme="majorHAnsi" w:hAnsiTheme="majorHAnsi"/>
          <w:sz w:val="20"/>
          <w:szCs w:val="20"/>
          <w:lang w:val="es-419"/>
        </w:rPr>
        <w:t xml:space="preserve"> Según </w:t>
      </w:r>
      <w:r w:rsidR="009E4C65">
        <w:rPr>
          <w:rFonts w:asciiTheme="majorHAnsi" w:hAnsiTheme="majorHAnsi"/>
          <w:sz w:val="20"/>
          <w:szCs w:val="20"/>
          <w:lang w:val="es-419"/>
        </w:rPr>
        <w:t>la presunta víctima</w:t>
      </w:r>
      <w:r w:rsidR="008E62F0" w:rsidRPr="004D268A">
        <w:rPr>
          <w:rFonts w:asciiTheme="majorHAnsi" w:hAnsiTheme="majorHAnsi"/>
          <w:sz w:val="20"/>
          <w:szCs w:val="20"/>
          <w:lang w:val="es-419"/>
        </w:rPr>
        <w:t>, el agente fiscal fue sobornado para que presenta</w:t>
      </w:r>
      <w:r w:rsidR="009E4C65">
        <w:rPr>
          <w:rFonts w:asciiTheme="majorHAnsi" w:hAnsiTheme="majorHAnsi"/>
          <w:sz w:val="20"/>
          <w:szCs w:val="20"/>
          <w:lang w:val="es-419"/>
        </w:rPr>
        <w:t>ra</w:t>
      </w:r>
      <w:r w:rsidR="008E62F0" w:rsidRPr="004D268A">
        <w:rPr>
          <w:rFonts w:asciiTheme="majorHAnsi" w:hAnsiTheme="majorHAnsi"/>
          <w:sz w:val="20"/>
          <w:szCs w:val="20"/>
          <w:lang w:val="es-419"/>
        </w:rPr>
        <w:t xml:space="preserve"> la querella en el juzgado penal. Así, e</w:t>
      </w:r>
      <w:r w:rsidR="004A75B5" w:rsidRPr="004D268A">
        <w:rPr>
          <w:rFonts w:asciiTheme="majorHAnsi" w:hAnsiTheme="majorHAnsi"/>
          <w:sz w:val="20"/>
          <w:szCs w:val="20"/>
          <w:lang w:val="es-419"/>
        </w:rPr>
        <w:t xml:space="preserve">l 8 </w:t>
      </w:r>
      <w:r w:rsidR="00EC72E5" w:rsidRPr="004D268A">
        <w:rPr>
          <w:rFonts w:asciiTheme="majorHAnsi" w:hAnsiTheme="majorHAnsi"/>
          <w:sz w:val="20"/>
          <w:szCs w:val="20"/>
          <w:lang w:val="es-419"/>
        </w:rPr>
        <w:t xml:space="preserve">de mayo de 2008, el Fiscal de </w:t>
      </w:r>
      <w:r w:rsidR="00BA1EBF">
        <w:rPr>
          <w:rFonts w:asciiTheme="majorHAnsi" w:hAnsiTheme="majorHAnsi"/>
          <w:sz w:val="20"/>
          <w:szCs w:val="20"/>
          <w:lang w:val="es-419"/>
        </w:rPr>
        <w:t xml:space="preserve">la </w:t>
      </w:r>
      <w:r w:rsidR="00EC72E5" w:rsidRPr="004D268A">
        <w:rPr>
          <w:rFonts w:asciiTheme="majorHAnsi" w:hAnsiTheme="majorHAnsi"/>
          <w:sz w:val="20"/>
          <w:szCs w:val="20"/>
          <w:lang w:val="es-419"/>
        </w:rPr>
        <w:t>Secció</w:t>
      </w:r>
      <w:r w:rsidR="00BA1EBF">
        <w:rPr>
          <w:rFonts w:asciiTheme="majorHAnsi" w:hAnsiTheme="majorHAnsi"/>
          <w:sz w:val="20"/>
          <w:szCs w:val="20"/>
          <w:lang w:val="es-419"/>
        </w:rPr>
        <w:t>n</w:t>
      </w:r>
      <w:r w:rsidR="00EC72E5" w:rsidRPr="004D268A">
        <w:rPr>
          <w:rFonts w:asciiTheme="majorHAnsi" w:hAnsiTheme="majorHAnsi"/>
          <w:sz w:val="20"/>
          <w:szCs w:val="20"/>
          <w:lang w:val="es-419"/>
        </w:rPr>
        <w:t xml:space="preserve"> Contra el Crimen Organizado solicitó al Juez de Ejecución de Guatemala las </w:t>
      </w:r>
      <w:r w:rsidR="00BA1EBF">
        <w:rPr>
          <w:rFonts w:asciiTheme="majorHAnsi" w:hAnsiTheme="majorHAnsi"/>
          <w:sz w:val="20"/>
          <w:szCs w:val="20"/>
          <w:lang w:val="es-419"/>
        </w:rPr>
        <w:t>ó</w:t>
      </w:r>
      <w:r w:rsidR="00EC72E5" w:rsidRPr="004D268A">
        <w:rPr>
          <w:rFonts w:asciiTheme="majorHAnsi" w:hAnsiTheme="majorHAnsi"/>
          <w:sz w:val="20"/>
          <w:szCs w:val="20"/>
          <w:lang w:val="es-419"/>
        </w:rPr>
        <w:t xml:space="preserve">rdenes de aprehensión contra la presunta víctima y </w:t>
      </w:r>
      <w:r w:rsidR="00BA1EBF">
        <w:rPr>
          <w:rFonts w:asciiTheme="majorHAnsi" w:hAnsiTheme="majorHAnsi"/>
          <w:sz w:val="20"/>
          <w:szCs w:val="20"/>
          <w:lang w:val="es-419"/>
        </w:rPr>
        <w:t xml:space="preserve">las otras personas </w:t>
      </w:r>
      <w:r w:rsidR="00EC72E5" w:rsidRPr="004D268A">
        <w:rPr>
          <w:rFonts w:asciiTheme="majorHAnsi" w:hAnsiTheme="majorHAnsi"/>
          <w:sz w:val="20"/>
          <w:szCs w:val="20"/>
          <w:lang w:val="es-419"/>
        </w:rPr>
        <w:t>por los delitos de estafa, falsificació</w:t>
      </w:r>
      <w:r w:rsidR="00BA1EBF">
        <w:rPr>
          <w:rFonts w:asciiTheme="majorHAnsi" w:hAnsiTheme="majorHAnsi"/>
          <w:sz w:val="20"/>
          <w:szCs w:val="20"/>
          <w:lang w:val="es-419"/>
        </w:rPr>
        <w:t>n</w:t>
      </w:r>
      <w:r w:rsidR="00EC72E5" w:rsidRPr="004D268A">
        <w:rPr>
          <w:rFonts w:asciiTheme="majorHAnsi" w:hAnsiTheme="majorHAnsi"/>
          <w:sz w:val="20"/>
          <w:szCs w:val="20"/>
          <w:lang w:val="es-419"/>
        </w:rPr>
        <w:t xml:space="preserve"> de documentos privados, uso de documentos falsificados, actividades contra la seguridad interior de la Nación y lavado de dinero. </w:t>
      </w:r>
      <w:r w:rsidR="00BA1EBF">
        <w:rPr>
          <w:rFonts w:asciiTheme="majorHAnsi" w:hAnsiTheme="majorHAnsi"/>
          <w:sz w:val="20"/>
          <w:szCs w:val="20"/>
          <w:lang w:val="es-419"/>
        </w:rPr>
        <w:t>La presunta víctima</w:t>
      </w:r>
      <w:r w:rsidR="006E3874" w:rsidRPr="004D268A">
        <w:rPr>
          <w:rFonts w:asciiTheme="majorHAnsi" w:hAnsiTheme="majorHAnsi"/>
          <w:sz w:val="20"/>
          <w:szCs w:val="20"/>
          <w:lang w:val="es-419"/>
        </w:rPr>
        <w:t xml:space="preserve"> afirma que fue acusad</w:t>
      </w:r>
      <w:r w:rsidR="00BA1EBF">
        <w:rPr>
          <w:rFonts w:asciiTheme="majorHAnsi" w:hAnsiTheme="majorHAnsi"/>
          <w:sz w:val="20"/>
          <w:szCs w:val="20"/>
          <w:lang w:val="es-419"/>
        </w:rPr>
        <w:t>a</w:t>
      </w:r>
      <w:r w:rsidR="006E3874" w:rsidRPr="004D268A">
        <w:rPr>
          <w:rFonts w:asciiTheme="majorHAnsi" w:hAnsiTheme="majorHAnsi"/>
          <w:sz w:val="20"/>
          <w:szCs w:val="20"/>
          <w:lang w:val="es-419"/>
        </w:rPr>
        <w:t xml:space="preserve"> de delito contra la seguridad de la Nación </w:t>
      </w:r>
      <w:r w:rsidR="00BA1EBF">
        <w:rPr>
          <w:rFonts w:asciiTheme="majorHAnsi" w:hAnsiTheme="majorHAnsi"/>
          <w:sz w:val="20"/>
          <w:szCs w:val="20"/>
          <w:lang w:val="es-419"/>
        </w:rPr>
        <w:t xml:space="preserve">como presión </w:t>
      </w:r>
      <w:r w:rsidR="006E3874" w:rsidRPr="004D268A">
        <w:rPr>
          <w:rFonts w:asciiTheme="majorHAnsi" w:hAnsiTheme="majorHAnsi"/>
          <w:sz w:val="20"/>
          <w:szCs w:val="20"/>
          <w:lang w:val="es-419"/>
        </w:rPr>
        <w:t xml:space="preserve">para que no </w:t>
      </w:r>
      <w:r w:rsidR="00BA1EBF">
        <w:rPr>
          <w:rFonts w:asciiTheme="majorHAnsi" w:hAnsiTheme="majorHAnsi"/>
          <w:sz w:val="20"/>
          <w:szCs w:val="20"/>
          <w:lang w:val="es-419"/>
        </w:rPr>
        <w:t>siguiera</w:t>
      </w:r>
      <w:r w:rsidR="006E3874" w:rsidRPr="004D268A">
        <w:rPr>
          <w:rFonts w:asciiTheme="majorHAnsi" w:hAnsiTheme="majorHAnsi"/>
          <w:sz w:val="20"/>
          <w:szCs w:val="20"/>
          <w:lang w:val="es-419"/>
        </w:rPr>
        <w:t xml:space="preserve"> denunciando a los directo</w:t>
      </w:r>
      <w:r w:rsidR="00BA1EBF">
        <w:rPr>
          <w:rFonts w:asciiTheme="majorHAnsi" w:hAnsiTheme="majorHAnsi"/>
          <w:sz w:val="20"/>
          <w:szCs w:val="20"/>
          <w:lang w:val="es-419"/>
        </w:rPr>
        <w:t>res</w:t>
      </w:r>
      <w:r w:rsidR="006E3874" w:rsidRPr="004D268A">
        <w:rPr>
          <w:rFonts w:asciiTheme="majorHAnsi" w:hAnsiTheme="majorHAnsi"/>
          <w:sz w:val="20"/>
          <w:szCs w:val="20"/>
          <w:lang w:val="es-419"/>
        </w:rPr>
        <w:t xml:space="preserve"> que estaban cometiendo delitos en el Banco. </w:t>
      </w:r>
    </w:p>
    <w:p w14:paraId="3BF4DC59" w14:textId="546E900A" w:rsidR="00045C7D" w:rsidRPr="004D268A" w:rsidRDefault="00EC72E5" w:rsidP="006E387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4D268A">
        <w:rPr>
          <w:rFonts w:asciiTheme="majorHAnsi" w:hAnsiTheme="majorHAnsi"/>
          <w:sz w:val="20"/>
          <w:szCs w:val="20"/>
          <w:lang w:val="es-419"/>
        </w:rPr>
        <w:t xml:space="preserve">La orden de aprehensión contra la presunta víctima fue ejecutada el mismo día, sin que hubiera una audiencia </w:t>
      </w:r>
      <w:r w:rsidR="005F35B9" w:rsidRPr="004D268A">
        <w:rPr>
          <w:rFonts w:asciiTheme="majorHAnsi" w:hAnsiTheme="majorHAnsi"/>
          <w:sz w:val="20"/>
          <w:szCs w:val="20"/>
          <w:lang w:val="es-419"/>
        </w:rPr>
        <w:t>pública</w:t>
      </w:r>
      <w:r w:rsidRPr="004D268A">
        <w:rPr>
          <w:rFonts w:asciiTheme="majorHAnsi" w:hAnsiTheme="majorHAnsi"/>
          <w:sz w:val="20"/>
          <w:szCs w:val="20"/>
          <w:lang w:val="es-419"/>
        </w:rPr>
        <w:t xml:space="preserve">, como establece la ley de Guatemala. </w:t>
      </w:r>
      <w:r w:rsidR="0011673F" w:rsidRPr="004D268A">
        <w:rPr>
          <w:rFonts w:asciiTheme="majorHAnsi" w:hAnsiTheme="majorHAnsi"/>
          <w:sz w:val="20"/>
          <w:szCs w:val="20"/>
          <w:lang w:val="es-419"/>
        </w:rPr>
        <w:t xml:space="preserve">Además, alega que el Juez de Primera Instancia Penal de la Antigua Guatemala resolvió </w:t>
      </w:r>
      <w:r w:rsidR="00BA1EBF" w:rsidRPr="004D268A">
        <w:rPr>
          <w:rFonts w:asciiTheme="majorHAnsi" w:hAnsiTheme="majorHAnsi"/>
          <w:sz w:val="20"/>
          <w:szCs w:val="20"/>
          <w:lang w:val="es-419"/>
        </w:rPr>
        <w:t>en marzo de 2009</w:t>
      </w:r>
      <w:r w:rsidR="00BA1EBF">
        <w:rPr>
          <w:rFonts w:asciiTheme="majorHAnsi" w:hAnsiTheme="majorHAnsi"/>
          <w:sz w:val="20"/>
          <w:szCs w:val="20"/>
          <w:lang w:val="es-419"/>
        </w:rPr>
        <w:t xml:space="preserve"> </w:t>
      </w:r>
      <w:r w:rsidR="0011673F" w:rsidRPr="004D268A">
        <w:rPr>
          <w:rFonts w:asciiTheme="majorHAnsi" w:hAnsiTheme="majorHAnsi"/>
          <w:sz w:val="20"/>
          <w:szCs w:val="20"/>
          <w:lang w:val="es-419"/>
        </w:rPr>
        <w:t xml:space="preserve">sobreseer a la presunta víctima por considerar que no </w:t>
      </w:r>
      <w:r w:rsidR="00011A80" w:rsidRPr="004D268A">
        <w:rPr>
          <w:rFonts w:asciiTheme="majorHAnsi" w:hAnsiTheme="majorHAnsi"/>
          <w:sz w:val="20"/>
          <w:szCs w:val="20"/>
          <w:lang w:val="es-419"/>
        </w:rPr>
        <w:t>había</w:t>
      </w:r>
      <w:r w:rsidR="0011673F" w:rsidRPr="004D268A">
        <w:rPr>
          <w:rFonts w:asciiTheme="majorHAnsi" w:hAnsiTheme="majorHAnsi"/>
          <w:sz w:val="20"/>
          <w:szCs w:val="20"/>
          <w:lang w:val="es-419"/>
        </w:rPr>
        <w:t xml:space="preserve"> requisitos para acreditar su responsabilidad, pero dicha decisión fue apelada por el Ministerio </w:t>
      </w:r>
      <w:r w:rsidR="005F35B9" w:rsidRPr="004D268A">
        <w:rPr>
          <w:rFonts w:asciiTheme="majorHAnsi" w:hAnsiTheme="majorHAnsi"/>
          <w:sz w:val="20"/>
          <w:szCs w:val="20"/>
          <w:lang w:val="es-419"/>
        </w:rPr>
        <w:t>Pú</w:t>
      </w:r>
      <w:r w:rsidR="005F35B9">
        <w:rPr>
          <w:rFonts w:asciiTheme="majorHAnsi" w:hAnsiTheme="majorHAnsi"/>
          <w:sz w:val="20"/>
          <w:szCs w:val="20"/>
          <w:lang w:val="es-419"/>
        </w:rPr>
        <w:t>b</w:t>
      </w:r>
      <w:r w:rsidR="005F35B9" w:rsidRPr="004D268A">
        <w:rPr>
          <w:rFonts w:asciiTheme="majorHAnsi" w:hAnsiTheme="majorHAnsi"/>
          <w:sz w:val="20"/>
          <w:szCs w:val="20"/>
          <w:lang w:val="es-419"/>
        </w:rPr>
        <w:t>lico</w:t>
      </w:r>
      <w:r w:rsidR="0011673F" w:rsidRPr="004D268A">
        <w:rPr>
          <w:rFonts w:asciiTheme="majorHAnsi" w:hAnsiTheme="majorHAnsi"/>
          <w:sz w:val="20"/>
          <w:szCs w:val="20"/>
          <w:lang w:val="es-419"/>
        </w:rPr>
        <w:t xml:space="preserve">. El 20 de mayo de 2009 </w:t>
      </w:r>
      <w:r w:rsidR="002556C3" w:rsidRPr="004D268A">
        <w:rPr>
          <w:rFonts w:asciiTheme="majorHAnsi" w:hAnsiTheme="majorHAnsi"/>
          <w:sz w:val="20"/>
          <w:szCs w:val="20"/>
          <w:lang w:val="es-419"/>
        </w:rPr>
        <w:t xml:space="preserve">la presunta víctima presentó una denuncia a la Oficina de Derechos Humanos del Arzobispado </w:t>
      </w:r>
      <w:r w:rsidR="00BA1EBF">
        <w:rPr>
          <w:rFonts w:asciiTheme="majorHAnsi" w:hAnsiTheme="majorHAnsi"/>
          <w:sz w:val="20"/>
          <w:szCs w:val="20"/>
          <w:lang w:val="es-419"/>
        </w:rPr>
        <w:t>en la que sostuvo</w:t>
      </w:r>
      <w:r w:rsidR="002556C3" w:rsidRPr="004D268A">
        <w:rPr>
          <w:rFonts w:asciiTheme="majorHAnsi" w:hAnsiTheme="majorHAnsi"/>
          <w:sz w:val="20"/>
          <w:szCs w:val="20"/>
          <w:lang w:val="es-419"/>
        </w:rPr>
        <w:t xml:space="preserve"> que un Magistrado </w:t>
      </w:r>
      <w:r w:rsidR="00ED3CE3" w:rsidRPr="004D268A">
        <w:rPr>
          <w:rFonts w:asciiTheme="majorHAnsi" w:hAnsiTheme="majorHAnsi"/>
          <w:sz w:val="20"/>
          <w:szCs w:val="20"/>
          <w:lang w:val="es-419"/>
        </w:rPr>
        <w:t xml:space="preserve">de la Sala Regional Mixta de la Corte de Apelaciones de la Antigua Guatemala recibió </w:t>
      </w:r>
      <w:r w:rsidR="00BA1EBF">
        <w:rPr>
          <w:rFonts w:asciiTheme="majorHAnsi" w:hAnsiTheme="majorHAnsi"/>
          <w:sz w:val="20"/>
          <w:szCs w:val="20"/>
          <w:lang w:val="es-419"/>
        </w:rPr>
        <w:t xml:space="preserve">una </w:t>
      </w:r>
      <w:r w:rsidR="00ED3CE3" w:rsidRPr="004D268A">
        <w:rPr>
          <w:rFonts w:asciiTheme="majorHAnsi" w:hAnsiTheme="majorHAnsi"/>
          <w:sz w:val="20"/>
          <w:szCs w:val="20"/>
          <w:lang w:val="es-419"/>
        </w:rPr>
        <w:t xml:space="preserve">propina de los mandatarios del Banco de los Trabajadores para que fungiera como presidente de </w:t>
      </w:r>
      <w:r w:rsidR="00BA1EBF">
        <w:rPr>
          <w:rFonts w:asciiTheme="majorHAnsi" w:hAnsiTheme="majorHAnsi"/>
          <w:sz w:val="20"/>
          <w:szCs w:val="20"/>
          <w:lang w:val="es-419"/>
        </w:rPr>
        <w:t>dicha</w:t>
      </w:r>
      <w:r w:rsidR="00ED3CE3" w:rsidRPr="004D268A">
        <w:rPr>
          <w:rFonts w:asciiTheme="majorHAnsi" w:hAnsiTheme="majorHAnsi"/>
          <w:sz w:val="20"/>
          <w:szCs w:val="20"/>
          <w:lang w:val="es-419"/>
        </w:rPr>
        <w:t xml:space="preserve"> Corte y juzgara el caso de manera </w:t>
      </w:r>
      <w:r w:rsidR="00BA1EBF" w:rsidRPr="004D268A">
        <w:rPr>
          <w:rFonts w:asciiTheme="majorHAnsi" w:hAnsiTheme="majorHAnsi"/>
          <w:sz w:val="20"/>
          <w:szCs w:val="20"/>
          <w:lang w:val="es-419"/>
        </w:rPr>
        <w:t>d</w:t>
      </w:r>
      <w:r w:rsidR="00BA1EBF">
        <w:rPr>
          <w:rFonts w:asciiTheme="majorHAnsi" w:hAnsiTheme="majorHAnsi"/>
          <w:sz w:val="20"/>
          <w:szCs w:val="20"/>
          <w:lang w:val="es-419"/>
        </w:rPr>
        <w:t>e</w:t>
      </w:r>
      <w:r w:rsidR="00BA1EBF" w:rsidRPr="004D268A">
        <w:rPr>
          <w:rFonts w:asciiTheme="majorHAnsi" w:hAnsiTheme="majorHAnsi"/>
          <w:sz w:val="20"/>
          <w:szCs w:val="20"/>
          <w:lang w:val="es-419"/>
        </w:rPr>
        <w:t>sfavorable</w:t>
      </w:r>
      <w:r w:rsidR="00ED3CE3" w:rsidRPr="004D268A">
        <w:rPr>
          <w:rFonts w:asciiTheme="majorHAnsi" w:hAnsiTheme="majorHAnsi"/>
          <w:sz w:val="20"/>
          <w:szCs w:val="20"/>
          <w:lang w:val="es-419"/>
        </w:rPr>
        <w:t xml:space="preserve"> a la presunta víctima. </w:t>
      </w:r>
      <w:r w:rsidR="00BA1EBF">
        <w:rPr>
          <w:rFonts w:asciiTheme="majorHAnsi" w:hAnsiTheme="majorHAnsi"/>
          <w:sz w:val="20"/>
          <w:szCs w:val="20"/>
          <w:lang w:val="es-419"/>
        </w:rPr>
        <w:t>El</w:t>
      </w:r>
      <w:r w:rsidR="00B60EAF" w:rsidRPr="004D268A">
        <w:rPr>
          <w:rFonts w:asciiTheme="majorHAnsi" w:hAnsiTheme="majorHAnsi"/>
          <w:sz w:val="20"/>
          <w:szCs w:val="20"/>
          <w:lang w:val="es-419"/>
        </w:rPr>
        <w:t xml:space="preserve"> 25 de mayo de 2009 la Sala Regional Mixta de la Corte de Apelaciones decidió no hacer lugar al recurso presentado por el Ministerio P</w:t>
      </w:r>
      <w:r w:rsidR="00BA1EBF">
        <w:rPr>
          <w:rFonts w:asciiTheme="majorHAnsi" w:hAnsiTheme="majorHAnsi"/>
          <w:sz w:val="20"/>
          <w:szCs w:val="20"/>
          <w:lang w:val="es-419"/>
        </w:rPr>
        <w:t>ú</w:t>
      </w:r>
      <w:r w:rsidR="00B60EAF" w:rsidRPr="004D268A">
        <w:rPr>
          <w:rFonts w:asciiTheme="majorHAnsi" w:hAnsiTheme="majorHAnsi"/>
          <w:sz w:val="20"/>
          <w:szCs w:val="20"/>
          <w:lang w:val="es-419"/>
        </w:rPr>
        <w:t>blico, pero reconoció que</w:t>
      </w:r>
      <w:r w:rsidR="00BA1EBF" w:rsidRPr="00BA1EBF">
        <w:rPr>
          <w:rFonts w:asciiTheme="majorHAnsi" w:hAnsiTheme="majorHAnsi"/>
          <w:sz w:val="20"/>
          <w:szCs w:val="20"/>
          <w:lang w:val="es-419"/>
        </w:rPr>
        <w:t xml:space="preserve"> </w:t>
      </w:r>
      <w:r w:rsidR="00BA1EBF" w:rsidRPr="004D268A">
        <w:rPr>
          <w:rFonts w:asciiTheme="majorHAnsi" w:hAnsiTheme="majorHAnsi"/>
          <w:sz w:val="20"/>
          <w:szCs w:val="20"/>
          <w:lang w:val="es-419"/>
        </w:rPr>
        <w:t>debería darse intervención al Procurador General de la Nación</w:t>
      </w:r>
      <w:r w:rsidR="00BA1EBF">
        <w:rPr>
          <w:rFonts w:asciiTheme="majorHAnsi" w:hAnsiTheme="majorHAnsi"/>
          <w:sz w:val="20"/>
          <w:szCs w:val="20"/>
          <w:lang w:val="es-419"/>
        </w:rPr>
        <w:t xml:space="preserve"> debido a que el</w:t>
      </w:r>
      <w:r w:rsidR="00B60EAF" w:rsidRPr="004D268A">
        <w:rPr>
          <w:rFonts w:asciiTheme="majorHAnsi" w:hAnsiTheme="majorHAnsi"/>
          <w:sz w:val="20"/>
          <w:szCs w:val="20"/>
          <w:lang w:val="es-419"/>
        </w:rPr>
        <w:t xml:space="preserve"> </w:t>
      </w:r>
      <w:r w:rsidR="003B547A" w:rsidRPr="004D268A">
        <w:rPr>
          <w:rFonts w:asciiTheme="majorHAnsi" w:hAnsiTheme="majorHAnsi"/>
          <w:sz w:val="20"/>
          <w:szCs w:val="20"/>
          <w:lang w:val="es-419"/>
        </w:rPr>
        <w:t xml:space="preserve">Estado de Guatemala </w:t>
      </w:r>
      <w:r w:rsidR="00BA1EBF">
        <w:rPr>
          <w:rFonts w:asciiTheme="majorHAnsi" w:hAnsiTheme="majorHAnsi"/>
          <w:sz w:val="20"/>
          <w:szCs w:val="20"/>
          <w:lang w:val="es-419"/>
        </w:rPr>
        <w:t>es</w:t>
      </w:r>
      <w:r w:rsidR="003B547A" w:rsidRPr="004D268A">
        <w:rPr>
          <w:rFonts w:asciiTheme="majorHAnsi" w:hAnsiTheme="majorHAnsi"/>
          <w:sz w:val="20"/>
          <w:szCs w:val="20"/>
          <w:lang w:val="es-419"/>
        </w:rPr>
        <w:t xml:space="preserve"> accionista del Banco de Trabajadores</w:t>
      </w:r>
      <w:r w:rsidR="00BA1EBF">
        <w:rPr>
          <w:rFonts w:asciiTheme="majorHAnsi" w:hAnsiTheme="majorHAnsi"/>
          <w:sz w:val="20"/>
          <w:szCs w:val="20"/>
          <w:lang w:val="es-419"/>
        </w:rPr>
        <w:t>;</w:t>
      </w:r>
      <w:r w:rsidR="00BA1EBF" w:rsidRPr="004D268A">
        <w:rPr>
          <w:rFonts w:asciiTheme="majorHAnsi" w:hAnsiTheme="majorHAnsi"/>
          <w:sz w:val="20"/>
          <w:szCs w:val="20"/>
          <w:lang w:val="es-419"/>
        </w:rPr>
        <w:t xml:space="preserve"> </w:t>
      </w:r>
      <w:r w:rsidR="00BA1EBF">
        <w:rPr>
          <w:rFonts w:asciiTheme="majorHAnsi" w:hAnsiTheme="majorHAnsi"/>
          <w:sz w:val="20"/>
          <w:szCs w:val="20"/>
          <w:lang w:val="es-419"/>
        </w:rPr>
        <w:t xml:space="preserve">con tal </w:t>
      </w:r>
      <w:r w:rsidR="003B547A" w:rsidRPr="004D268A">
        <w:rPr>
          <w:rFonts w:asciiTheme="majorHAnsi" w:hAnsiTheme="majorHAnsi"/>
          <w:sz w:val="20"/>
          <w:szCs w:val="20"/>
          <w:lang w:val="es-419"/>
        </w:rPr>
        <w:t>motivo</w:t>
      </w:r>
      <w:r w:rsidR="00BA1EBF">
        <w:rPr>
          <w:rFonts w:asciiTheme="majorHAnsi" w:hAnsiTheme="majorHAnsi"/>
          <w:sz w:val="20"/>
          <w:szCs w:val="20"/>
          <w:lang w:val="es-419"/>
        </w:rPr>
        <w:t>,</w:t>
      </w:r>
      <w:r w:rsidR="003B547A" w:rsidRPr="004D268A">
        <w:rPr>
          <w:rFonts w:asciiTheme="majorHAnsi" w:hAnsiTheme="majorHAnsi"/>
          <w:sz w:val="20"/>
          <w:szCs w:val="20"/>
          <w:lang w:val="es-419"/>
        </w:rPr>
        <w:t xml:space="preserve"> </w:t>
      </w:r>
      <w:r w:rsidR="007A1F8E" w:rsidRPr="004D268A">
        <w:rPr>
          <w:rFonts w:asciiTheme="majorHAnsi" w:hAnsiTheme="majorHAnsi"/>
          <w:sz w:val="20"/>
          <w:szCs w:val="20"/>
          <w:lang w:val="es-419"/>
        </w:rPr>
        <w:t xml:space="preserve">determinó que </w:t>
      </w:r>
      <w:r w:rsidR="00BA1EBF" w:rsidRPr="004D268A">
        <w:rPr>
          <w:rFonts w:asciiTheme="majorHAnsi" w:hAnsiTheme="majorHAnsi"/>
          <w:sz w:val="20"/>
          <w:szCs w:val="20"/>
          <w:lang w:val="es-419"/>
        </w:rPr>
        <w:t>había</w:t>
      </w:r>
      <w:r w:rsidR="007A1F8E" w:rsidRPr="004D268A">
        <w:rPr>
          <w:rFonts w:asciiTheme="majorHAnsi" w:hAnsiTheme="majorHAnsi"/>
          <w:sz w:val="20"/>
          <w:szCs w:val="20"/>
          <w:lang w:val="es-419"/>
        </w:rPr>
        <w:t xml:space="preserve"> un error de procedimiento y ordenó la anulación del actuado a partir del 19 de mayo de 2008. En razón de lo anterior, la presunta víctima presentó</w:t>
      </w:r>
      <w:r w:rsidR="00BA1EBF">
        <w:rPr>
          <w:rFonts w:asciiTheme="majorHAnsi" w:hAnsiTheme="majorHAnsi"/>
          <w:sz w:val="20"/>
          <w:szCs w:val="20"/>
          <w:lang w:val="es-419"/>
        </w:rPr>
        <w:t xml:space="preserve"> un</w:t>
      </w:r>
      <w:r w:rsidR="007A1F8E" w:rsidRPr="004D268A">
        <w:rPr>
          <w:rFonts w:asciiTheme="majorHAnsi" w:hAnsiTheme="majorHAnsi"/>
          <w:sz w:val="20"/>
          <w:szCs w:val="20"/>
          <w:lang w:val="es-419"/>
        </w:rPr>
        <w:t xml:space="preserve"> recurso de reposición ante la Sala Regional Mixta, </w:t>
      </w:r>
      <w:r w:rsidR="00BA1EBF">
        <w:rPr>
          <w:rFonts w:asciiTheme="majorHAnsi" w:hAnsiTheme="majorHAnsi"/>
          <w:sz w:val="20"/>
          <w:szCs w:val="20"/>
          <w:lang w:val="es-419"/>
        </w:rPr>
        <w:t>que</w:t>
      </w:r>
      <w:r w:rsidR="007A1F8E" w:rsidRPr="004D268A">
        <w:rPr>
          <w:rFonts w:asciiTheme="majorHAnsi" w:hAnsiTheme="majorHAnsi"/>
          <w:sz w:val="20"/>
          <w:szCs w:val="20"/>
          <w:lang w:val="es-419"/>
        </w:rPr>
        <w:t xml:space="preserve"> fue rechazado el 31 de julio de 2009. Según </w:t>
      </w:r>
      <w:r w:rsidR="00BA1EBF">
        <w:rPr>
          <w:rFonts w:asciiTheme="majorHAnsi" w:hAnsiTheme="majorHAnsi"/>
          <w:sz w:val="20"/>
          <w:szCs w:val="20"/>
          <w:lang w:val="es-419"/>
        </w:rPr>
        <w:t xml:space="preserve">la presunta </w:t>
      </w:r>
      <w:r w:rsidR="002F3AB3">
        <w:rPr>
          <w:rFonts w:asciiTheme="majorHAnsi" w:hAnsiTheme="majorHAnsi"/>
          <w:sz w:val="20"/>
          <w:szCs w:val="20"/>
          <w:lang w:val="es-419"/>
        </w:rPr>
        <w:t>víctima</w:t>
      </w:r>
      <w:r w:rsidR="007A1F8E" w:rsidRPr="004D268A">
        <w:rPr>
          <w:rFonts w:asciiTheme="majorHAnsi" w:hAnsiTheme="majorHAnsi"/>
          <w:sz w:val="20"/>
          <w:szCs w:val="20"/>
          <w:lang w:val="es-419"/>
        </w:rPr>
        <w:t xml:space="preserve">, </w:t>
      </w:r>
      <w:r w:rsidR="00953651" w:rsidRPr="004D268A">
        <w:rPr>
          <w:rFonts w:asciiTheme="majorHAnsi" w:hAnsiTheme="majorHAnsi"/>
          <w:sz w:val="20"/>
          <w:szCs w:val="20"/>
          <w:lang w:val="es-419"/>
        </w:rPr>
        <w:t>el Poder Judicia</w:t>
      </w:r>
      <w:r w:rsidR="002F3AB3">
        <w:rPr>
          <w:rFonts w:asciiTheme="majorHAnsi" w:hAnsiTheme="majorHAnsi"/>
          <w:sz w:val="20"/>
          <w:szCs w:val="20"/>
          <w:lang w:val="es-419"/>
        </w:rPr>
        <w:t>l</w:t>
      </w:r>
      <w:r w:rsidR="00953651" w:rsidRPr="004D268A">
        <w:rPr>
          <w:rFonts w:asciiTheme="majorHAnsi" w:hAnsiTheme="majorHAnsi"/>
          <w:sz w:val="20"/>
          <w:szCs w:val="20"/>
          <w:lang w:val="es-419"/>
        </w:rPr>
        <w:t xml:space="preserve"> omitió la interposición de su recurso y devolvió el expediente a la primera instancia, </w:t>
      </w:r>
      <w:r w:rsidR="00FE2135">
        <w:rPr>
          <w:rFonts w:asciiTheme="majorHAnsi" w:hAnsiTheme="majorHAnsi"/>
          <w:sz w:val="20"/>
          <w:szCs w:val="20"/>
          <w:lang w:val="es-419"/>
        </w:rPr>
        <w:t xml:space="preserve">por lo </w:t>
      </w:r>
      <w:r w:rsidR="0057141D">
        <w:rPr>
          <w:rFonts w:asciiTheme="majorHAnsi" w:hAnsiTheme="majorHAnsi"/>
          <w:sz w:val="20"/>
          <w:szCs w:val="20"/>
          <w:lang w:val="es-419"/>
        </w:rPr>
        <w:t>que</w:t>
      </w:r>
      <w:r w:rsidR="0057141D" w:rsidRPr="004D268A">
        <w:rPr>
          <w:rFonts w:asciiTheme="majorHAnsi" w:hAnsiTheme="majorHAnsi"/>
          <w:sz w:val="20"/>
          <w:szCs w:val="20"/>
          <w:lang w:val="es-419"/>
        </w:rPr>
        <w:t xml:space="preserve"> presentó</w:t>
      </w:r>
      <w:r w:rsidR="005F35B9">
        <w:rPr>
          <w:rFonts w:asciiTheme="majorHAnsi" w:hAnsiTheme="majorHAnsi"/>
          <w:sz w:val="20"/>
          <w:szCs w:val="20"/>
          <w:lang w:val="es-419"/>
        </w:rPr>
        <w:t xml:space="preserve"> una denuncia penal contra dicha</w:t>
      </w:r>
      <w:r w:rsidR="00953651" w:rsidRPr="004D268A">
        <w:rPr>
          <w:rFonts w:asciiTheme="majorHAnsi" w:hAnsiTheme="majorHAnsi"/>
          <w:sz w:val="20"/>
          <w:szCs w:val="20"/>
          <w:lang w:val="es-419"/>
        </w:rPr>
        <w:t xml:space="preserve"> </w:t>
      </w:r>
      <w:r w:rsidR="00FE2135">
        <w:rPr>
          <w:rFonts w:asciiTheme="majorHAnsi" w:hAnsiTheme="majorHAnsi"/>
          <w:sz w:val="20"/>
          <w:szCs w:val="20"/>
          <w:lang w:val="es-419"/>
        </w:rPr>
        <w:t>conducta</w:t>
      </w:r>
      <w:r w:rsidR="00953651" w:rsidRPr="004D268A">
        <w:rPr>
          <w:rFonts w:asciiTheme="majorHAnsi" w:hAnsiTheme="majorHAnsi"/>
          <w:sz w:val="20"/>
          <w:szCs w:val="20"/>
          <w:lang w:val="es-419"/>
        </w:rPr>
        <w:t xml:space="preserve">, </w:t>
      </w:r>
      <w:r w:rsidR="00FE2135">
        <w:rPr>
          <w:rFonts w:asciiTheme="majorHAnsi" w:hAnsiTheme="majorHAnsi"/>
          <w:sz w:val="20"/>
          <w:szCs w:val="20"/>
          <w:lang w:val="es-419"/>
        </w:rPr>
        <w:t>que</w:t>
      </w:r>
      <w:r w:rsidR="00953651" w:rsidRPr="004D268A">
        <w:rPr>
          <w:rFonts w:asciiTheme="majorHAnsi" w:hAnsiTheme="majorHAnsi"/>
          <w:sz w:val="20"/>
          <w:szCs w:val="20"/>
          <w:lang w:val="es-419"/>
        </w:rPr>
        <w:t xml:space="preserve"> fue desestimada el 21 de noviembre de 2012.</w:t>
      </w:r>
    </w:p>
    <w:p w14:paraId="3BB60F22" w14:textId="1BD0D351" w:rsidR="00953651" w:rsidRPr="004D268A" w:rsidRDefault="00953651" w:rsidP="00045C7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4D268A">
        <w:rPr>
          <w:rFonts w:asciiTheme="majorHAnsi" w:hAnsiTheme="majorHAnsi"/>
          <w:sz w:val="20"/>
          <w:szCs w:val="20"/>
          <w:lang w:val="es-419"/>
        </w:rPr>
        <w:t xml:space="preserve">Además, </w:t>
      </w:r>
      <w:r w:rsidR="00846628" w:rsidRPr="004D268A">
        <w:rPr>
          <w:rFonts w:asciiTheme="majorHAnsi" w:hAnsiTheme="majorHAnsi"/>
          <w:sz w:val="20"/>
          <w:szCs w:val="20"/>
          <w:lang w:val="es-419"/>
        </w:rPr>
        <w:t xml:space="preserve">la documentación </w:t>
      </w:r>
      <w:r w:rsidR="00406C9F">
        <w:rPr>
          <w:rFonts w:asciiTheme="majorHAnsi" w:hAnsiTheme="majorHAnsi"/>
          <w:sz w:val="20"/>
          <w:szCs w:val="20"/>
          <w:lang w:val="es-419"/>
        </w:rPr>
        <w:t>disponible</w:t>
      </w:r>
      <w:r w:rsidR="00846628" w:rsidRPr="004D268A">
        <w:rPr>
          <w:rFonts w:asciiTheme="majorHAnsi" w:hAnsiTheme="majorHAnsi"/>
          <w:sz w:val="20"/>
          <w:szCs w:val="20"/>
          <w:lang w:val="es-419"/>
        </w:rPr>
        <w:t xml:space="preserve"> </w:t>
      </w:r>
      <w:r w:rsidR="00406C9F">
        <w:rPr>
          <w:rFonts w:asciiTheme="majorHAnsi" w:hAnsiTheme="majorHAnsi"/>
          <w:sz w:val="20"/>
          <w:szCs w:val="20"/>
          <w:lang w:val="es-419"/>
        </w:rPr>
        <w:t>permite</w:t>
      </w:r>
      <w:r w:rsidR="00846628" w:rsidRPr="004D268A">
        <w:rPr>
          <w:rFonts w:asciiTheme="majorHAnsi" w:hAnsiTheme="majorHAnsi"/>
          <w:sz w:val="20"/>
          <w:szCs w:val="20"/>
          <w:lang w:val="es-419"/>
        </w:rPr>
        <w:t xml:space="preserve"> concluir que el 26 de octubre de 2009, la presunta víctima</w:t>
      </w:r>
      <w:r w:rsidR="00406C9F">
        <w:rPr>
          <w:rFonts w:asciiTheme="majorHAnsi" w:hAnsiTheme="majorHAnsi"/>
          <w:sz w:val="20"/>
          <w:szCs w:val="20"/>
          <w:lang w:val="es-419"/>
        </w:rPr>
        <w:t xml:space="preserve"> </w:t>
      </w:r>
      <w:r w:rsidR="00846628" w:rsidRPr="004D268A">
        <w:rPr>
          <w:rFonts w:asciiTheme="majorHAnsi" w:hAnsiTheme="majorHAnsi"/>
          <w:sz w:val="20"/>
          <w:szCs w:val="20"/>
          <w:lang w:val="es-419"/>
        </w:rPr>
        <w:t xml:space="preserve">interpuso un recurso de amparo ante la Corte Suprema de Justicia contra lo resuelto por la </w:t>
      </w:r>
      <w:r w:rsidR="009C36F7" w:rsidRPr="004D268A">
        <w:rPr>
          <w:rFonts w:asciiTheme="majorHAnsi" w:hAnsiTheme="majorHAnsi"/>
          <w:sz w:val="20"/>
          <w:szCs w:val="20"/>
          <w:lang w:val="es-419"/>
        </w:rPr>
        <w:t>Sala Regional Mixta de la Corte de Apelaciones de la Antigua Guatemala, que confirmó la decisión de segunda instancia</w:t>
      </w:r>
      <w:r w:rsidR="00677DA2" w:rsidRPr="004D268A">
        <w:rPr>
          <w:rFonts w:asciiTheme="majorHAnsi" w:hAnsiTheme="majorHAnsi"/>
          <w:sz w:val="20"/>
          <w:szCs w:val="20"/>
          <w:lang w:val="es-419"/>
        </w:rPr>
        <w:t xml:space="preserve">. </w:t>
      </w:r>
      <w:r w:rsidR="002C4413">
        <w:rPr>
          <w:rFonts w:asciiTheme="majorHAnsi" w:hAnsiTheme="majorHAnsi"/>
          <w:sz w:val="20"/>
          <w:szCs w:val="20"/>
          <w:lang w:val="es-419"/>
        </w:rPr>
        <w:t>Contra</w:t>
      </w:r>
      <w:r w:rsidR="00677DA2" w:rsidRPr="004D268A">
        <w:rPr>
          <w:rFonts w:asciiTheme="majorHAnsi" w:hAnsiTheme="majorHAnsi"/>
          <w:sz w:val="20"/>
          <w:szCs w:val="20"/>
          <w:lang w:val="es-419"/>
        </w:rPr>
        <w:t xml:space="preserve"> dicha decisión, </w:t>
      </w:r>
      <w:r w:rsidR="002C4413">
        <w:rPr>
          <w:rFonts w:asciiTheme="majorHAnsi" w:hAnsiTheme="majorHAnsi"/>
          <w:sz w:val="20"/>
          <w:szCs w:val="20"/>
          <w:lang w:val="es-419"/>
        </w:rPr>
        <w:t xml:space="preserve">dedujo un </w:t>
      </w:r>
      <w:r w:rsidR="00944D91" w:rsidRPr="004D268A">
        <w:rPr>
          <w:rFonts w:asciiTheme="majorHAnsi" w:hAnsiTheme="majorHAnsi"/>
          <w:sz w:val="20"/>
          <w:szCs w:val="20"/>
          <w:lang w:val="es-419"/>
        </w:rPr>
        <w:t>recurso de apelación a la Corte de Constitucionalidad, que el 1</w:t>
      </w:r>
      <w:r w:rsidR="002C4413">
        <w:rPr>
          <w:rFonts w:asciiTheme="majorHAnsi" w:hAnsiTheme="majorHAnsi"/>
          <w:sz w:val="20"/>
          <w:szCs w:val="20"/>
          <w:lang w:val="es-419"/>
        </w:rPr>
        <w:t xml:space="preserve">º </w:t>
      </w:r>
      <w:r w:rsidR="00944D91" w:rsidRPr="004D268A">
        <w:rPr>
          <w:rFonts w:asciiTheme="majorHAnsi" w:hAnsiTheme="majorHAnsi"/>
          <w:sz w:val="20"/>
          <w:szCs w:val="20"/>
          <w:lang w:val="es-419"/>
        </w:rPr>
        <w:t>de marzo de 2011 revocó la sentencia de 31 de julio de 2009</w:t>
      </w:r>
      <w:r w:rsidR="002C4413">
        <w:rPr>
          <w:rFonts w:asciiTheme="majorHAnsi" w:hAnsiTheme="majorHAnsi"/>
          <w:sz w:val="20"/>
          <w:szCs w:val="20"/>
          <w:lang w:val="es-419"/>
        </w:rPr>
        <w:t xml:space="preserve"> y</w:t>
      </w:r>
      <w:r w:rsidR="00944D91" w:rsidRPr="004D268A">
        <w:rPr>
          <w:rFonts w:asciiTheme="majorHAnsi" w:hAnsiTheme="majorHAnsi"/>
          <w:sz w:val="20"/>
          <w:szCs w:val="20"/>
          <w:lang w:val="es-419"/>
        </w:rPr>
        <w:t xml:space="preserve"> orden</w:t>
      </w:r>
      <w:r w:rsidR="002C4413">
        <w:rPr>
          <w:rFonts w:asciiTheme="majorHAnsi" w:hAnsiTheme="majorHAnsi"/>
          <w:sz w:val="20"/>
          <w:szCs w:val="20"/>
          <w:lang w:val="es-419"/>
        </w:rPr>
        <w:t>ó</w:t>
      </w:r>
      <w:r w:rsidR="00944D91" w:rsidRPr="004D268A">
        <w:rPr>
          <w:rFonts w:asciiTheme="majorHAnsi" w:hAnsiTheme="majorHAnsi"/>
          <w:sz w:val="20"/>
          <w:szCs w:val="20"/>
          <w:lang w:val="es-419"/>
        </w:rPr>
        <w:t xml:space="preserve"> que se dictara una nueva resolución, pues el recurso de reposición de la presunta víctima no fue considerado.</w:t>
      </w:r>
      <w:r w:rsidR="00CD39DA" w:rsidRPr="004D268A">
        <w:rPr>
          <w:rFonts w:asciiTheme="majorHAnsi" w:hAnsiTheme="majorHAnsi"/>
          <w:sz w:val="20"/>
          <w:szCs w:val="20"/>
          <w:lang w:val="es-419"/>
        </w:rPr>
        <w:t xml:space="preserve"> Por otro lado, la </w:t>
      </w:r>
      <w:r w:rsidR="002C4413">
        <w:rPr>
          <w:rFonts w:asciiTheme="majorHAnsi" w:hAnsiTheme="majorHAnsi"/>
          <w:sz w:val="20"/>
          <w:szCs w:val="20"/>
          <w:lang w:val="es-419"/>
        </w:rPr>
        <w:t>presunta víctima</w:t>
      </w:r>
      <w:r w:rsidR="00CD39DA" w:rsidRPr="004D268A">
        <w:rPr>
          <w:rFonts w:asciiTheme="majorHAnsi" w:hAnsiTheme="majorHAnsi"/>
          <w:sz w:val="20"/>
          <w:szCs w:val="20"/>
          <w:lang w:val="es-419"/>
        </w:rPr>
        <w:t xml:space="preserve"> alega que el 20 de septiembre de 2010 los magistrados de la Sala Regional Mixta de la Antigua Guatemala se inhibieron de conocer su causa y nombraron magistrados suplentes</w:t>
      </w:r>
      <w:r w:rsidR="002C4413">
        <w:rPr>
          <w:rFonts w:asciiTheme="majorHAnsi" w:hAnsiTheme="majorHAnsi"/>
          <w:sz w:val="20"/>
          <w:szCs w:val="20"/>
          <w:lang w:val="es-419"/>
        </w:rPr>
        <w:t>;</w:t>
      </w:r>
      <w:r w:rsidR="00B114F2" w:rsidRPr="004D268A">
        <w:rPr>
          <w:rFonts w:asciiTheme="majorHAnsi" w:hAnsiTheme="majorHAnsi"/>
          <w:sz w:val="20"/>
          <w:szCs w:val="20"/>
          <w:lang w:val="es-419"/>
        </w:rPr>
        <w:t xml:space="preserve"> s</w:t>
      </w:r>
      <w:r w:rsidR="00D91761" w:rsidRPr="004D268A">
        <w:rPr>
          <w:rFonts w:asciiTheme="majorHAnsi" w:hAnsiTheme="majorHAnsi"/>
          <w:sz w:val="20"/>
          <w:szCs w:val="20"/>
          <w:lang w:val="es-419"/>
        </w:rPr>
        <w:t xml:space="preserve">in embargo, </w:t>
      </w:r>
      <w:r w:rsidR="00B114F2" w:rsidRPr="004D268A">
        <w:rPr>
          <w:rFonts w:asciiTheme="majorHAnsi" w:hAnsiTheme="majorHAnsi"/>
          <w:sz w:val="20"/>
          <w:szCs w:val="20"/>
          <w:lang w:val="es-419"/>
        </w:rPr>
        <w:t xml:space="preserve">el 25 de agosto de 2011 dicha sala actuó con la intervención de algunos jueces que se habrían excusado. Según </w:t>
      </w:r>
      <w:r w:rsidR="002C4413">
        <w:rPr>
          <w:rFonts w:asciiTheme="majorHAnsi" w:hAnsiTheme="majorHAnsi"/>
          <w:sz w:val="20"/>
          <w:szCs w:val="20"/>
          <w:lang w:val="es-419"/>
        </w:rPr>
        <w:t>la presunta víctima</w:t>
      </w:r>
      <w:r w:rsidR="00B114F2" w:rsidRPr="004D268A">
        <w:rPr>
          <w:rFonts w:asciiTheme="majorHAnsi" w:hAnsiTheme="majorHAnsi"/>
          <w:sz w:val="20"/>
          <w:szCs w:val="20"/>
          <w:lang w:val="es-419"/>
        </w:rPr>
        <w:t xml:space="preserve">, </w:t>
      </w:r>
      <w:r w:rsidR="002C4413">
        <w:rPr>
          <w:rFonts w:asciiTheme="majorHAnsi" w:hAnsiTheme="majorHAnsi"/>
          <w:sz w:val="20"/>
          <w:szCs w:val="20"/>
          <w:lang w:val="es-419"/>
        </w:rPr>
        <w:t>tales</w:t>
      </w:r>
      <w:r w:rsidR="00B114F2" w:rsidRPr="004D268A">
        <w:rPr>
          <w:rFonts w:asciiTheme="majorHAnsi" w:hAnsiTheme="majorHAnsi"/>
          <w:sz w:val="20"/>
          <w:szCs w:val="20"/>
          <w:lang w:val="es-419"/>
        </w:rPr>
        <w:t xml:space="preserve"> hechos fueron denunciados al Fiscal General del Ministerio P</w:t>
      </w:r>
      <w:r w:rsidR="002C4413">
        <w:rPr>
          <w:rFonts w:asciiTheme="majorHAnsi" w:hAnsiTheme="majorHAnsi"/>
          <w:sz w:val="20"/>
          <w:szCs w:val="20"/>
          <w:lang w:val="es-419"/>
        </w:rPr>
        <w:t>ú</w:t>
      </w:r>
      <w:r w:rsidR="00B114F2" w:rsidRPr="004D268A">
        <w:rPr>
          <w:rFonts w:asciiTheme="majorHAnsi" w:hAnsiTheme="majorHAnsi"/>
          <w:sz w:val="20"/>
          <w:szCs w:val="20"/>
          <w:lang w:val="es-419"/>
        </w:rPr>
        <w:t>blico. El 6 de marzo de 2012 la Sala Regional Mixta de la Antigua Guatemala revocó el sobres</w:t>
      </w:r>
      <w:r w:rsidR="002C4413">
        <w:rPr>
          <w:rFonts w:asciiTheme="majorHAnsi" w:hAnsiTheme="majorHAnsi"/>
          <w:sz w:val="20"/>
          <w:szCs w:val="20"/>
          <w:lang w:val="es-419"/>
        </w:rPr>
        <w:t>eimiento</w:t>
      </w:r>
      <w:r w:rsidR="00B114F2" w:rsidRPr="004D268A">
        <w:rPr>
          <w:rFonts w:asciiTheme="majorHAnsi" w:hAnsiTheme="majorHAnsi"/>
          <w:sz w:val="20"/>
          <w:szCs w:val="20"/>
          <w:lang w:val="es-419"/>
        </w:rPr>
        <w:t xml:space="preserve"> dictado a favor de la presunta víctima. </w:t>
      </w:r>
    </w:p>
    <w:p w14:paraId="526F6C28" w14:textId="7C6F165A" w:rsidR="00B114F2" w:rsidRPr="004D268A" w:rsidRDefault="002C4413" w:rsidP="00A2101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Pr>
          <w:rFonts w:asciiTheme="majorHAnsi" w:hAnsiTheme="majorHAnsi"/>
          <w:sz w:val="20"/>
          <w:szCs w:val="20"/>
          <w:lang w:val="es-419"/>
        </w:rPr>
        <w:t>Contra</w:t>
      </w:r>
      <w:r w:rsidR="00B114F2" w:rsidRPr="004D268A">
        <w:rPr>
          <w:rFonts w:asciiTheme="majorHAnsi" w:hAnsiTheme="majorHAnsi"/>
          <w:sz w:val="20"/>
          <w:szCs w:val="20"/>
          <w:lang w:val="es-419"/>
        </w:rPr>
        <w:t xml:space="preserve"> dicha resolución, la presunta víctima interpuso un recurso de reposición</w:t>
      </w:r>
      <w:r w:rsidR="001549B6">
        <w:rPr>
          <w:rFonts w:asciiTheme="majorHAnsi" w:hAnsiTheme="majorHAnsi"/>
          <w:sz w:val="20"/>
          <w:szCs w:val="20"/>
          <w:lang w:val="es-419"/>
        </w:rPr>
        <w:t xml:space="preserve"> y un</w:t>
      </w:r>
      <w:r w:rsidR="00B114F2" w:rsidRPr="004D268A">
        <w:rPr>
          <w:rFonts w:asciiTheme="majorHAnsi" w:hAnsiTheme="majorHAnsi"/>
          <w:sz w:val="20"/>
          <w:szCs w:val="20"/>
          <w:lang w:val="es-419"/>
        </w:rPr>
        <w:t xml:space="preserve"> amparo provis</w:t>
      </w:r>
      <w:r>
        <w:rPr>
          <w:rFonts w:asciiTheme="majorHAnsi" w:hAnsiTheme="majorHAnsi"/>
          <w:sz w:val="20"/>
          <w:szCs w:val="20"/>
          <w:lang w:val="es-419"/>
        </w:rPr>
        <w:t>ional</w:t>
      </w:r>
      <w:r w:rsidR="00B114F2" w:rsidRPr="004D268A">
        <w:rPr>
          <w:rFonts w:asciiTheme="majorHAnsi" w:hAnsiTheme="majorHAnsi"/>
          <w:sz w:val="20"/>
          <w:szCs w:val="20"/>
          <w:lang w:val="es-419"/>
        </w:rPr>
        <w:t xml:space="preserve"> ante la Sala Regional Mixta de la Antigua Guatemala</w:t>
      </w:r>
      <w:r>
        <w:rPr>
          <w:rFonts w:asciiTheme="majorHAnsi" w:hAnsiTheme="majorHAnsi"/>
          <w:sz w:val="20"/>
          <w:szCs w:val="20"/>
          <w:lang w:val="es-419"/>
        </w:rPr>
        <w:t>;</w:t>
      </w:r>
      <w:r w:rsidR="00B114F2" w:rsidRPr="004D268A">
        <w:rPr>
          <w:rFonts w:asciiTheme="majorHAnsi" w:hAnsiTheme="majorHAnsi"/>
          <w:sz w:val="20"/>
          <w:szCs w:val="20"/>
          <w:lang w:val="es-419"/>
        </w:rPr>
        <w:t xml:space="preserve"> y un recurso de casación ante la Corte Suprema de Justicia. El recurso de amparo provis</w:t>
      </w:r>
      <w:r w:rsidR="00927ABB">
        <w:rPr>
          <w:rFonts w:asciiTheme="majorHAnsi" w:hAnsiTheme="majorHAnsi"/>
          <w:sz w:val="20"/>
          <w:szCs w:val="20"/>
          <w:lang w:val="es-419"/>
        </w:rPr>
        <w:t>ional</w:t>
      </w:r>
      <w:r w:rsidR="0040791F" w:rsidRPr="004D268A">
        <w:rPr>
          <w:rFonts w:asciiTheme="majorHAnsi" w:hAnsiTheme="majorHAnsi"/>
          <w:sz w:val="20"/>
          <w:szCs w:val="20"/>
          <w:lang w:val="es-419"/>
        </w:rPr>
        <w:t xml:space="preserve"> fue rechazado. </w:t>
      </w:r>
      <w:r w:rsidR="00927ABB">
        <w:rPr>
          <w:rFonts w:asciiTheme="majorHAnsi" w:hAnsiTheme="majorHAnsi"/>
          <w:sz w:val="20"/>
          <w:szCs w:val="20"/>
          <w:lang w:val="es-419"/>
        </w:rPr>
        <w:t>Por lo tanto,</w:t>
      </w:r>
      <w:r w:rsidR="00927ABB" w:rsidRPr="004D268A" w:rsidDel="00927ABB">
        <w:rPr>
          <w:rFonts w:asciiTheme="majorHAnsi" w:hAnsiTheme="majorHAnsi"/>
          <w:sz w:val="20"/>
          <w:szCs w:val="20"/>
          <w:lang w:val="es-419"/>
        </w:rPr>
        <w:t xml:space="preserve"> </w:t>
      </w:r>
      <w:r w:rsidR="0040791F" w:rsidRPr="004D268A">
        <w:rPr>
          <w:rFonts w:asciiTheme="majorHAnsi" w:hAnsiTheme="majorHAnsi"/>
          <w:sz w:val="20"/>
          <w:szCs w:val="20"/>
          <w:lang w:val="es-419"/>
        </w:rPr>
        <w:t>present</w:t>
      </w:r>
      <w:r w:rsidR="00927ABB">
        <w:rPr>
          <w:rFonts w:asciiTheme="majorHAnsi" w:hAnsiTheme="majorHAnsi"/>
          <w:sz w:val="20"/>
          <w:szCs w:val="20"/>
          <w:lang w:val="es-419"/>
        </w:rPr>
        <w:t>ó</w:t>
      </w:r>
      <w:r w:rsidR="0040791F" w:rsidRPr="004D268A">
        <w:rPr>
          <w:rFonts w:asciiTheme="majorHAnsi" w:hAnsiTheme="majorHAnsi"/>
          <w:sz w:val="20"/>
          <w:szCs w:val="20"/>
          <w:lang w:val="es-419"/>
        </w:rPr>
        <w:t xml:space="preserve"> un recurso de amparo ante la Sala Regional Mixta de la Antigua Guatemala, </w:t>
      </w:r>
      <w:r w:rsidR="00927ABB">
        <w:rPr>
          <w:rFonts w:asciiTheme="majorHAnsi" w:hAnsiTheme="majorHAnsi"/>
          <w:sz w:val="20"/>
          <w:szCs w:val="20"/>
          <w:lang w:val="es-419"/>
        </w:rPr>
        <w:t>que</w:t>
      </w:r>
      <w:r w:rsidR="0040791F" w:rsidRPr="004D268A">
        <w:rPr>
          <w:rFonts w:asciiTheme="majorHAnsi" w:hAnsiTheme="majorHAnsi"/>
          <w:sz w:val="20"/>
          <w:szCs w:val="20"/>
          <w:lang w:val="es-419"/>
        </w:rPr>
        <w:t xml:space="preserve"> fue denegado el 14 de febrero de 2013 y notificado a la presunta víctima el 25 de febrero de 2013.</w:t>
      </w:r>
      <w:r w:rsidR="00C11642" w:rsidRPr="004D268A">
        <w:rPr>
          <w:rFonts w:asciiTheme="majorHAnsi" w:hAnsiTheme="majorHAnsi"/>
          <w:sz w:val="20"/>
          <w:szCs w:val="20"/>
          <w:lang w:val="es-419"/>
        </w:rPr>
        <w:t xml:space="preserve"> El 15 de octubre de 2013, la presunta víctima </w:t>
      </w:r>
      <w:r w:rsidR="0057141D" w:rsidRPr="004D268A">
        <w:rPr>
          <w:rFonts w:asciiTheme="majorHAnsi" w:hAnsiTheme="majorHAnsi"/>
          <w:sz w:val="20"/>
          <w:szCs w:val="20"/>
          <w:lang w:val="es-419"/>
        </w:rPr>
        <w:t>presentó</w:t>
      </w:r>
      <w:r w:rsidR="00C11642" w:rsidRPr="004D268A">
        <w:rPr>
          <w:rFonts w:asciiTheme="majorHAnsi" w:hAnsiTheme="majorHAnsi"/>
          <w:sz w:val="20"/>
          <w:szCs w:val="20"/>
          <w:lang w:val="es-419"/>
        </w:rPr>
        <w:t xml:space="preserve"> un </w:t>
      </w:r>
      <w:r w:rsidR="00011A80" w:rsidRPr="004D268A">
        <w:rPr>
          <w:rFonts w:asciiTheme="majorHAnsi" w:hAnsiTheme="majorHAnsi"/>
          <w:sz w:val="20"/>
          <w:szCs w:val="20"/>
          <w:lang w:val="es-419"/>
        </w:rPr>
        <w:t>recurso</w:t>
      </w:r>
      <w:r w:rsidR="00C11642" w:rsidRPr="004D268A">
        <w:rPr>
          <w:rFonts w:asciiTheme="majorHAnsi" w:hAnsiTheme="majorHAnsi"/>
          <w:sz w:val="20"/>
          <w:szCs w:val="20"/>
          <w:lang w:val="es-419"/>
        </w:rPr>
        <w:t xml:space="preserve"> de aclaratoria. </w:t>
      </w:r>
      <w:r w:rsidR="00927ABB">
        <w:rPr>
          <w:rFonts w:asciiTheme="majorHAnsi" w:hAnsiTheme="majorHAnsi"/>
          <w:sz w:val="20"/>
          <w:szCs w:val="20"/>
          <w:lang w:val="es-419"/>
        </w:rPr>
        <w:t>El</w:t>
      </w:r>
      <w:r w:rsidR="00C11642" w:rsidRPr="004D268A">
        <w:rPr>
          <w:rFonts w:asciiTheme="majorHAnsi" w:hAnsiTheme="majorHAnsi"/>
          <w:sz w:val="20"/>
          <w:szCs w:val="20"/>
          <w:lang w:val="es-419"/>
        </w:rPr>
        <w:t xml:space="preserve"> recurso de casación presentada ante la Corte Suprema de Justicia fue den</w:t>
      </w:r>
      <w:r w:rsidR="00927ABB">
        <w:rPr>
          <w:rFonts w:asciiTheme="majorHAnsi" w:hAnsiTheme="majorHAnsi"/>
          <w:sz w:val="20"/>
          <w:szCs w:val="20"/>
          <w:lang w:val="es-419"/>
        </w:rPr>
        <w:t>e</w:t>
      </w:r>
      <w:r w:rsidR="00C11642" w:rsidRPr="004D268A">
        <w:rPr>
          <w:rFonts w:asciiTheme="majorHAnsi" w:hAnsiTheme="majorHAnsi"/>
          <w:sz w:val="20"/>
          <w:szCs w:val="20"/>
          <w:lang w:val="es-419"/>
        </w:rPr>
        <w:t xml:space="preserve">gado el 26 de septiembre de 2012 por </w:t>
      </w:r>
      <w:r w:rsidR="00927ABB">
        <w:rPr>
          <w:rFonts w:asciiTheme="majorHAnsi" w:hAnsiTheme="majorHAnsi"/>
          <w:sz w:val="20"/>
          <w:szCs w:val="20"/>
          <w:lang w:val="es-419"/>
        </w:rPr>
        <w:t>improcedente</w:t>
      </w:r>
      <w:r w:rsidR="00C11642" w:rsidRPr="004D268A">
        <w:rPr>
          <w:rFonts w:asciiTheme="majorHAnsi" w:hAnsiTheme="majorHAnsi"/>
          <w:sz w:val="20"/>
          <w:szCs w:val="20"/>
          <w:lang w:val="es-419"/>
        </w:rPr>
        <w:t xml:space="preserve">, ya que la </w:t>
      </w:r>
      <w:r w:rsidR="00927ABB">
        <w:rPr>
          <w:rFonts w:asciiTheme="majorHAnsi" w:hAnsiTheme="majorHAnsi"/>
          <w:sz w:val="20"/>
          <w:szCs w:val="20"/>
          <w:lang w:val="es-419"/>
        </w:rPr>
        <w:t xml:space="preserve">decisión </w:t>
      </w:r>
      <w:r w:rsidR="00A7218A" w:rsidRPr="004D268A">
        <w:rPr>
          <w:rFonts w:asciiTheme="majorHAnsi" w:hAnsiTheme="majorHAnsi"/>
          <w:sz w:val="20"/>
          <w:szCs w:val="20"/>
          <w:lang w:val="es-419"/>
        </w:rPr>
        <w:t>que revocó el sobres</w:t>
      </w:r>
      <w:r w:rsidR="00927ABB">
        <w:rPr>
          <w:rFonts w:asciiTheme="majorHAnsi" w:hAnsiTheme="majorHAnsi"/>
          <w:sz w:val="20"/>
          <w:szCs w:val="20"/>
          <w:lang w:val="es-419"/>
        </w:rPr>
        <w:t>ei</w:t>
      </w:r>
      <w:r w:rsidR="00A7218A" w:rsidRPr="004D268A">
        <w:rPr>
          <w:rFonts w:asciiTheme="majorHAnsi" w:hAnsiTheme="majorHAnsi"/>
          <w:sz w:val="20"/>
          <w:szCs w:val="20"/>
          <w:lang w:val="es-419"/>
        </w:rPr>
        <w:t xml:space="preserve">miento no era una sentencia definitiva. En virtud de lo anterior, la presunta víctima presentó un recurso de amparo el 8 de noviembre de 2012 </w:t>
      </w:r>
      <w:r w:rsidR="00927ABB">
        <w:rPr>
          <w:rFonts w:asciiTheme="majorHAnsi" w:hAnsiTheme="majorHAnsi"/>
          <w:sz w:val="20"/>
          <w:szCs w:val="20"/>
          <w:lang w:val="es-419"/>
        </w:rPr>
        <w:t xml:space="preserve">en que </w:t>
      </w:r>
      <w:r w:rsidR="00A7218A" w:rsidRPr="004D268A">
        <w:rPr>
          <w:rFonts w:asciiTheme="majorHAnsi" w:hAnsiTheme="majorHAnsi"/>
          <w:sz w:val="20"/>
          <w:szCs w:val="20"/>
          <w:lang w:val="es-419"/>
        </w:rPr>
        <w:t>aleg</w:t>
      </w:r>
      <w:r w:rsidR="00927ABB">
        <w:rPr>
          <w:rFonts w:asciiTheme="majorHAnsi" w:hAnsiTheme="majorHAnsi"/>
          <w:sz w:val="20"/>
          <w:szCs w:val="20"/>
          <w:lang w:val="es-419"/>
        </w:rPr>
        <w:t>ó</w:t>
      </w:r>
      <w:r w:rsidR="00A7218A" w:rsidRPr="004D268A">
        <w:rPr>
          <w:rFonts w:asciiTheme="majorHAnsi" w:hAnsiTheme="majorHAnsi"/>
          <w:sz w:val="20"/>
          <w:szCs w:val="20"/>
          <w:lang w:val="es-419"/>
        </w:rPr>
        <w:t xml:space="preserve"> la vulneración a su derecho a la defensa y debido proceso. Dicho recurso fue rechazado el 6 de septiembre de 2013 por la Corte Constitucional</w:t>
      </w:r>
      <w:r w:rsidR="00787141" w:rsidRPr="004D268A">
        <w:rPr>
          <w:rFonts w:asciiTheme="majorHAnsi" w:hAnsiTheme="majorHAnsi"/>
          <w:sz w:val="20"/>
          <w:szCs w:val="20"/>
          <w:lang w:val="es-419"/>
        </w:rPr>
        <w:t>.</w:t>
      </w:r>
      <w:r w:rsidR="00C71E2D" w:rsidRPr="004D268A">
        <w:rPr>
          <w:rFonts w:asciiTheme="majorHAnsi" w:hAnsiTheme="majorHAnsi"/>
          <w:sz w:val="20"/>
          <w:szCs w:val="20"/>
          <w:lang w:val="es-419"/>
        </w:rPr>
        <w:t xml:space="preserve"> Asimismo, alega que en los meses de abril</w:t>
      </w:r>
      <w:r w:rsidR="00927ABB">
        <w:rPr>
          <w:rFonts w:asciiTheme="majorHAnsi" w:hAnsiTheme="majorHAnsi"/>
          <w:sz w:val="20"/>
          <w:szCs w:val="20"/>
          <w:lang w:val="es-419"/>
        </w:rPr>
        <w:t xml:space="preserve"> y</w:t>
      </w:r>
      <w:r w:rsidR="00C71E2D" w:rsidRPr="004D268A">
        <w:rPr>
          <w:rFonts w:asciiTheme="majorHAnsi" w:hAnsiTheme="majorHAnsi"/>
          <w:sz w:val="20"/>
          <w:szCs w:val="20"/>
          <w:lang w:val="es-419"/>
        </w:rPr>
        <w:t xml:space="preserve"> junio de 2014</w:t>
      </w:r>
      <w:r w:rsidR="00927ABB">
        <w:rPr>
          <w:rFonts w:asciiTheme="majorHAnsi" w:hAnsiTheme="majorHAnsi"/>
          <w:sz w:val="20"/>
          <w:szCs w:val="20"/>
          <w:lang w:val="es-419"/>
        </w:rPr>
        <w:t>,</w:t>
      </w:r>
      <w:r w:rsidR="00C71E2D" w:rsidRPr="004D268A">
        <w:rPr>
          <w:rFonts w:asciiTheme="majorHAnsi" w:hAnsiTheme="majorHAnsi"/>
          <w:sz w:val="20"/>
          <w:szCs w:val="20"/>
          <w:lang w:val="es-419"/>
        </w:rPr>
        <w:t xml:space="preserve"> </w:t>
      </w:r>
      <w:r w:rsidR="00C71E2D" w:rsidRPr="004D268A">
        <w:rPr>
          <w:rFonts w:asciiTheme="majorHAnsi" w:hAnsiTheme="majorHAnsi"/>
          <w:sz w:val="20"/>
          <w:szCs w:val="20"/>
          <w:lang w:val="es-419"/>
        </w:rPr>
        <w:lastRenderedPageBreak/>
        <w:t xml:space="preserve">y agosto de 2015, </w:t>
      </w:r>
      <w:r w:rsidR="00927ABB">
        <w:rPr>
          <w:rFonts w:asciiTheme="majorHAnsi" w:hAnsiTheme="majorHAnsi"/>
          <w:sz w:val="20"/>
          <w:szCs w:val="20"/>
          <w:lang w:val="es-419"/>
        </w:rPr>
        <w:t xml:space="preserve">respectivamente, </w:t>
      </w:r>
      <w:r w:rsidR="00C71E2D" w:rsidRPr="004D268A">
        <w:rPr>
          <w:rFonts w:asciiTheme="majorHAnsi" w:hAnsiTheme="majorHAnsi"/>
          <w:sz w:val="20"/>
          <w:szCs w:val="20"/>
          <w:lang w:val="es-419"/>
        </w:rPr>
        <w:t>presentó tres excepciones preliminares en el proceso</w:t>
      </w:r>
      <w:r w:rsidR="00927ABB">
        <w:rPr>
          <w:rFonts w:asciiTheme="majorHAnsi" w:hAnsiTheme="majorHAnsi"/>
          <w:sz w:val="20"/>
          <w:szCs w:val="20"/>
          <w:lang w:val="es-419"/>
        </w:rPr>
        <w:t>;</w:t>
      </w:r>
      <w:r w:rsidR="00C71E2D" w:rsidRPr="004D268A">
        <w:rPr>
          <w:rFonts w:asciiTheme="majorHAnsi" w:hAnsiTheme="majorHAnsi"/>
          <w:sz w:val="20"/>
          <w:szCs w:val="20"/>
          <w:lang w:val="es-419"/>
        </w:rPr>
        <w:t xml:space="preserve"> todas fueron denegadas, sin que el Juzgado se manifestara sobre la pérdida de su patrimonio o legitimación de sus acusadores.</w:t>
      </w:r>
      <w:r w:rsidR="00A2101D" w:rsidRPr="004D268A">
        <w:rPr>
          <w:rFonts w:asciiTheme="majorHAnsi" w:hAnsiTheme="majorHAnsi"/>
          <w:sz w:val="20"/>
          <w:szCs w:val="20"/>
          <w:lang w:val="es-419"/>
        </w:rPr>
        <w:t xml:space="preserve"> Sostiene que en la audiencia para reconocer la falta de actuación del Ministerio P</w:t>
      </w:r>
      <w:r w:rsidR="00927ABB">
        <w:rPr>
          <w:rFonts w:asciiTheme="majorHAnsi" w:hAnsiTheme="majorHAnsi"/>
          <w:sz w:val="20"/>
          <w:szCs w:val="20"/>
          <w:lang w:val="es-419"/>
        </w:rPr>
        <w:t>ú</w:t>
      </w:r>
      <w:r w:rsidR="00A2101D" w:rsidRPr="004D268A">
        <w:rPr>
          <w:rFonts w:asciiTheme="majorHAnsi" w:hAnsiTheme="majorHAnsi"/>
          <w:sz w:val="20"/>
          <w:szCs w:val="20"/>
          <w:lang w:val="es-419"/>
        </w:rPr>
        <w:t xml:space="preserve">blico, </w:t>
      </w:r>
      <w:r w:rsidR="00927ABB">
        <w:rPr>
          <w:rFonts w:asciiTheme="majorHAnsi" w:hAnsiTheme="majorHAnsi"/>
          <w:sz w:val="20"/>
          <w:szCs w:val="20"/>
          <w:lang w:val="es-419"/>
        </w:rPr>
        <w:t xml:space="preserve">una de </w:t>
      </w:r>
      <w:r w:rsidR="00A2101D" w:rsidRPr="004D268A">
        <w:rPr>
          <w:rFonts w:asciiTheme="majorHAnsi" w:hAnsiTheme="majorHAnsi"/>
          <w:sz w:val="20"/>
          <w:szCs w:val="20"/>
          <w:lang w:val="es-419"/>
        </w:rPr>
        <w:t>la</w:t>
      </w:r>
      <w:r w:rsidR="00927ABB">
        <w:rPr>
          <w:rFonts w:asciiTheme="majorHAnsi" w:hAnsiTheme="majorHAnsi"/>
          <w:sz w:val="20"/>
          <w:szCs w:val="20"/>
          <w:lang w:val="es-419"/>
        </w:rPr>
        <w:t>s</w:t>
      </w:r>
      <w:r w:rsidR="00A2101D" w:rsidRPr="004D268A">
        <w:rPr>
          <w:rFonts w:asciiTheme="majorHAnsi" w:hAnsiTheme="majorHAnsi"/>
          <w:sz w:val="20"/>
          <w:szCs w:val="20"/>
          <w:lang w:val="es-419"/>
        </w:rPr>
        <w:t xml:space="preserve"> Jueza</w:t>
      </w:r>
      <w:r w:rsidR="00927ABB">
        <w:rPr>
          <w:rFonts w:asciiTheme="majorHAnsi" w:hAnsiTheme="majorHAnsi"/>
          <w:sz w:val="20"/>
          <w:szCs w:val="20"/>
          <w:lang w:val="es-419"/>
        </w:rPr>
        <w:t>s</w:t>
      </w:r>
      <w:r w:rsidR="00A2101D" w:rsidRPr="004D268A">
        <w:rPr>
          <w:rFonts w:asciiTheme="majorHAnsi" w:hAnsiTheme="majorHAnsi"/>
          <w:sz w:val="20"/>
          <w:szCs w:val="20"/>
          <w:lang w:val="es-419"/>
        </w:rPr>
        <w:t xml:space="preserve"> demostr</w:t>
      </w:r>
      <w:r w:rsidR="00927ABB">
        <w:rPr>
          <w:rFonts w:asciiTheme="majorHAnsi" w:hAnsiTheme="majorHAnsi"/>
          <w:sz w:val="20"/>
          <w:szCs w:val="20"/>
          <w:lang w:val="es-419"/>
        </w:rPr>
        <w:t>ó</w:t>
      </w:r>
      <w:r w:rsidR="00A2101D" w:rsidRPr="004D268A">
        <w:rPr>
          <w:rFonts w:asciiTheme="majorHAnsi" w:hAnsiTheme="majorHAnsi"/>
          <w:sz w:val="20"/>
          <w:szCs w:val="20"/>
          <w:lang w:val="es-419"/>
        </w:rPr>
        <w:t xml:space="preserve"> no conocer el caso.</w:t>
      </w:r>
      <w:r w:rsidR="00434D1F" w:rsidRPr="004D268A">
        <w:rPr>
          <w:rFonts w:asciiTheme="majorHAnsi" w:hAnsiTheme="majorHAnsi"/>
          <w:sz w:val="20"/>
          <w:szCs w:val="20"/>
          <w:lang w:val="es-419"/>
        </w:rPr>
        <w:t xml:space="preserve"> Asimismo, </w:t>
      </w:r>
      <w:r w:rsidR="00927ABB">
        <w:rPr>
          <w:rFonts w:asciiTheme="majorHAnsi" w:hAnsiTheme="majorHAnsi"/>
          <w:sz w:val="20"/>
          <w:szCs w:val="20"/>
          <w:lang w:val="es-419"/>
        </w:rPr>
        <w:t>la presunta víctima</w:t>
      </w:r>
      <w:r w:rsidR="00434D1F" w:rsidRPr="004D268A">
        <w:rPr>
          <w:rFonts w:asciiTheme="majorHAnsi" w:hAnsiTheme="majorHAnsi"/>
          <w:sz w:val="20"/>
          <w:szCs w:val="20"/>
          <w:lang w:val="es-419"/>
        </w:rPr>
        <w:t xml:space="preserve"> presentó una</w:t>
      </w:r>
      <w:r w:rsidR="00A2101D" w:rsidRPr="004D268A">
        <w:rPr>
          <w:rFonts w:asciiTheme="majorHAnsi" w:hAnsiTheme="majorHAnsi"/>
          <w:sz w:val="20"/>
          <w:szCs w:val="20"/>
          <w:lang w:val="es-419"/>
        </w:rPr>
        <w:t xml:space="preserve"> </w:t>
      </w:r>
      <w:r w:rsidR="00434D1F" w:rsidRPr="004D268A">
        <w:rPr>
          <w:rFonts w:asciiTheme="majorHAnsi" w:hAnsiTheme="majorHAnsi"/>
          <w:sz w:val="20"/>
          <w:szCs w:val="20"/>
          <w:lang w:val="es-419"/>
        </w:rPr>
        <w:t xml:space="preserve">acción de amparo el 28 de octubre de 2016 ante la Sala Regional Mixta de la Corte de Apelaciones, </w:t>
      </w:r>
      <w:r w:rsidR="00F201DC" w:rsidRPr="004D268A">
        <w:rPr>
          <w:rFonts w:asciiTheme="majorHAnsi" w:hAnsiTheme="majorHAnsi"/>
          <w:sz w:val="20"/>
          <w:szCs w:val="20"/>
          <w:lang w:val="es-419"/>
        </w:rPr>
        <w:t>pues fue privad</w:t>
      </w:r>
      <w:r w:rsidR="00927ABB">
        <w:rPr>
          <w:rFonts w:asciiTheme="majorHAnsi" w:hAnsiTheme="majorHAnsi"/>
          <w:sz w:val="20"/>
          <w:szCs w:val="20"/>
          <w:lang w:val="es-419"/>
        </w:rPr>
        <w:t>a</w:t>
      </w:r>
      <w:r w:rsidR="00F201DC" w:rsidRPr="004D268A">
        <w:rPr>
          <w:rFonts w:asciiTheme="majorHAnsi" w:hAnsiTheme="majorHAnsi"/>
          <w:sz w:val="20"/>
          <w:szCs w:val="20"/>
          <w:lang w:val="es-419"/>
        </w:rPr>
        <w:t xml:space="preserve"> del debate oral. La Sala Regional Mixta declaró sin lugar la acción, razón por la cual apeló a la Corte Constitucional. Ante </w:t>
      </w:r>
      <w:r w:rsidR="00927ABB">
        <w:rPr>
          <w:rFonts w:asciiTheme="majorHAnsi" w:hAnsiTheme="majorHAnsi"/>
          <w:sz w:val="20"/>
          <w:szCs w:val="20"/>
          <w:lang w:val="es-419"/>
        </w:rPr>
        <w:t>l</w:t>
      </w:r>
      <w:r w:rsidR="00F201DC" w:rsidRPr="004D268A">
        <w:rPr>
          <w:rFonts w:asciiTheme="majorHAnsi" w:hAnsiTheme="majorHAnsi"/>
          <w:sz w:val="20"/>
          <w:szCs w:val="20"/>
          <w:lang w:val="es-419"/>
        </w:rPr>
        <w:t xml:space="preserve">a falta de resolución de esa decisión, afirma que se presentó a la Corte Constitucional el 30 de abril de 2019 para entregar su denuncia personalmente. </w:t>
      </w:r>
    </w:p>
    <w:p w14:paraId="17952E73" w14:textId="54F4A807" w:rsidR="00437C5D" w:rsidRPr="004D268A" w:rsidRDefault="00787141" w:rsidP="00437C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0D2AFE">
        <w:rPr>
          <w:rFonts w:asciiTheme="majorHAnsi" w:hAnsiTheme="majorHAnsi"/>
          <w:bCs/>
          <w:sz w:val="20"/>
          <w:szCs w:val="20"/>
          <w:lang w:val="es-419"/>
        </w:rPr>
        <w:t>Con relación a la segunda causa</w:t>
      </w:r>
      <w:r w:rsidRPr="009E4C65">
        <w:rPr>
          <w:rFonts w:asciiTheme="majorHAnsi" w:hAnsiTheme="majorHAnsi"/>
          <w:sz w:val="20"/>
          <w:szCs w:val="20"/>
          <w:lang w:val="es-419"/>
        </w:rPr>
        <w:t>,</w:t>
      </w:r>
      <w:r w:rsidRPr="004D268A">
        <w:rPr>
          <w:rFonts w:asciiTheme="majorHAnsi" w:hAnsiTheme="majorHAnsi"/>
          <w:sz w:val="20"/>
          <w:szCs w:val="20"/>
          <w:lang w:val="es-419"/>
        </w:rPr>
        <w:t xml:space="preserve"> afirma que</w:t>
      </w:r>
      <w:r w:rsidR="0095736F" w:rsidRPr="004D268A">
        <w:rPr>
          <w:rFonts w:asciiTheme="majorHAnsi" w:hAnsiTheme="majorHAnsi"/>
          <w:sz w:val="20"/>
          <w:szCs w:val="20"/>
          <w:lang w:val="es-419"/>
        </w:rPr>
        <w:t xml:space="preserve"> los directivos del Banco de </w:t>
      </w:r>
      <w:r w:rsidR="00927ABB">
        <w:rPr>
          <w:rFonts w:asciiTheme="majorHAnsi" w:hAnsiTheme="majorHAnsi"/>
          <w:sz w:val="20"/>
          <w:szCs w:val="20"/>
          <w:lang w:val="es-419"/>
        </w:rPr>
        <w:t>los</w:t>
      </w:r>
      <w:r w:rsidR="00927ABB" w:rsidRPr="004D268A">
        <w:rPr>
          <w:rFonts w:asciiTheme="majorHAnsi" w:hAnsiTheme="majorHAnsi"/>
          <w:sz w:val="20"/>
          <w:szCs w:val="20"/>
          <w:lang w:val="es-419"/>
        </w:rPr>
        <w:t xml:space="preserve"> </w:t>
      </w:r>
      <w:r w:rsidR="0095736F" w:rsidRPr="004D268A">
        <w:rPr>
          <w:rFonts w:asciiTheme="majorHAnsi" w:hAnsiTheme="majorHAnsi"/>
          <w:sz w:val="20"/>
          <w:szCs w:val="20"/>
          <w:lang w:val="es-419"/>
        </w:rPr>
        <w:t xml:space="preserve">Trabajadores querellaron </w:t>
      </w:r>
      <w:r w:rsidR="00927ABB">
        <w:rPr>
          <w:rFonts w:asciiTheme="majorHAnsi" w:hAnsiTheme="majorHAnsi"/>
          <w:sz w:val="20"/>
          <w:szCs w:val="20"/>
          <w:lang w:val="es-419"/>
        </w:rPr>
        <w:t xml:space="preserve">a </w:t>
      </w:r>
      <w:r w:rsidR="0095736F" w:rsidRPr="004D268A">
        <w:rPr>
          <w:rFonts w:asciiTheme="majorHAnsi" w:hAnsiTheme="majorHAnsi"/>
          <w:sz w:val="20"/>
          <w:szCs w:val="20"/>
          <w:lang w:val="es-419"/>
        </w:rPr>
        <w:t xml:space="preserve">la presunta víctima el 28 de mayo de 2008 </w:t>
      </w:r>
      <w:r w:rsidR="00803E70" w:rsidRPr="004D268A">
        <w:rPr>
          <w:rFonts w:asciiTheme="majorHAnsi" w:hAnsiTheme="majorHAnsi"/>
          <w:sz w:val="20"/>
          <w:szCs w:val="20"/>
          <w:lang w:val="es-419"/>
        </w:rPr>
        <w:t xml:space="preserve">ante el Tribunal Duodécimo de Sentencia Penal </w:t>
      </w:r>
      <w:r w:rsidR="0095736F" w:rsidRPr="004D268A">
        <w:rPr>
          <w:rFonts w:asciiTheme="majorHAnsi" w:hAnsiTheme="majorHAnsi"/>
          <w:sz w:val="20"/>
          <w:szCs w:val="20"/>
          <w:lang w:val="es-419"/>
        </w:rPr>
        <w:t>por el delito de revelación de secreto profesional</w:t>
      </w:r>
      <w:r w:rsidR="009F2C26" w:rsidRPr="004D268A">
        <w:rPr>
          <w:rFonts w:asciiTheme="majorHAnsi" w:hAnsiTheme="majorHAnsi"/>
          <w:sz w:val="20"/>
          <w:szCs w:val="20"/>
          <w:lang w:val="es-419"/>
        </w:rPr>
        <w:t xml:space="preserve"> </w:t>
      </w:r>
      <w:r w:rsidR="00803E70">
        <w:rPr>
          <w:rFonts w:asciiTheme="majorHAnsi" w:hAnsiTheme="majorHAnsi"/>
          <w:sz w:val="20"/>
          <w:szCs w:val="20"/>
          <w:lang w:val="es-419"/>
        </w:rPr>
        <w:t xml:space="preserve">debido a </w:t>
      </w:r>
      <w:r w:rsidR="006145CC" w:rsidRPr="004D268A">
        <w:rPr>
          <w:rFonts w:asciiTheme="majorHAnsi" w:hAnsiTheme="majorHAnsi"/>
          <w:sz w:val="20"/>
          <w:szCs w:val="20"/>
          <w:lang w:val="es-419"/>
        </w:rPr>
        <w:t xml:space="preserve">que un periódico </w:t>
      </w:r>
      <w:r w:rsidR="009F2C26" w:rsidRPr="004D268A">
        <w:rPr>
          <w:rFonts w:asciiTheme="majorHAnsi" w:hAnsiTheme="majorHAnsi"/>
          <w:sz w:val="20"/>
          <w:szCs w:val="20"/>
          <w:lang w:val="es-419"/>
        </w:rPr>
        <w:t xml:space="preserve">había publicado una nota referente a un préstamo </w:t>
      </w:r>
      <w:r w:rsidR="00803E70" w:rsidRPr="004D268A">
        <w:rPr>
          <w:rFonts w:asciiTheme="majorHAnsi" w:hAnsiTheme="majorHAnsi"/>
          <w:sz w:val="20"/>
          <w:szCs w:val="20"/>
          <w:lang w:val="es-419"/>
        </w:rPr>
        <w:t>millonario</w:t>
      </w:r>
      <w:r w:rsidR="009F2C26" w:rsidRPr="004D268A">
        <w:rPr>
          <w:rFonts w:asciiTheme="majorHAnsi" w:hAnsiTheme="majorHAnsi"/>
          <w:sz w:val="20"/>
          <w:szCs w:val="20"/>
          <w:lang w:val="es-419"/>
        </w:rPr>
        <w:t xml:space="preserve"> otorgado a </w:t>
      </w:r>
      <w:r w:rsidR="00803E70">
        <w:rPr>
          <w:rFonts w:asciiTheme="majorHAnsi" w:hAnsiTheme="majorHAnsi"/>
          <w:sz w:val="20"/>
          <w:szCs w:val="20"/>
          <w:lang w:val="es-419"/>
        </w:rPr>
        <w:t xml:space="preserve">un </w:t>
      </w:r>
      <w:r w:rsidR="009F2C26" w:rsidRPr="004D268A">
        <w:rPr>
          <w:rFonts w:asciiTheme="majorHAnsi" w:hAnsiTheme="majorHAnsi"/>
          <w:sz w:val="20"/>
          <w:szCs w:val="20"/>
          <w:lang w:val="es-419"/>
        </w:rPr>
        <w:t xml:space="preserve">político por parte del Banco de Los Trabajadores. Alega que </w:t>
      </w:r>
      <w:r w:rsidR="00C509FB" w:rsidRPr="004D268A">
        <w:rPr>
          <w:rFonts w:asciiTheme="majorHAnsi" w:hAnsiTheme="majorHAnsi"/>
          <w:sz w:val="20"/>
          <w:szCs w:val="20"/>
          <w:lang w:val="es-419"/>
        </w:rPr>
        <w:t xml:space="preserve">el </w:t>
      </w:r>
      <w:r w:rsidR="0057141D" w:rsidRPr="004D268A">
        <w:rPr>
          <w:rFonts w:asciiTheme="majorHAnsi" w:hAnsiTheme="majorHAnsi"/>
          <w:sz w:val="20"/>
          <w:szCs w:val="20"/>
          <w:lang w:val="es-419"/>
        </w:rPr>
        <w:t>periódico</w:t>
      </w:r>
      <w:r w:rsidR="00C509FB" w:rsidRPr="004D268A">
        <w:rPr>
          <w:rFonts w:asciiTheme="majorHAnsi" w:hAnsiTheme="majorHAnsi"/>
          <w:sz w:val="20"/>
          <w:szCs w:val="20"/>
          <w:lang w:val="es-419"/>
        </w:rPr>
        <w:t xml:space="preserve"> ofreció al Banco la oportunidad de ejercer su derecho de r</w:t>
      </w:r>
      <w:r w:rsidR="00803E70">
        <w:rPr>
          <w:rFonts w:asciiTheme="majorHAnsi" w:hAnsiTheme="majorHAnsi"/>
          <w:sz w:val="20"/>
          <w:szCs w:val="20"/>
          <w:lang w:val="es-419"/>
        </w:rPr>
        <w:t>é</w:t>
      </w:r>
      <w:r w:rsidR="00C509FB" w:rsidRPr="004D268A">
        <w:rPr>
          <w:rFonts w:asciiTheme="majorHAnsi" w:hAnsiTheme="majorHAnsi"/>
          <w:sz w:val="20"/>
          <w:szCs w:val="20"/>
          <w:lang w:val="es-419"/>
        </w:rPr>
        <w:t xml:space="preserve">plica, </w:t>
      </w:r>
      <w:r w:rsidR="00803E70">
        <w:rPr>
          <w:rFonts w:asciiTheme="majorHAnsi" w:hAnsiTheme="majorHAnsi"/>
          <w:sz w:val="20"/>
          <w:szCs w:val="20"/>
          <w:lang w:val="es-419"/>
        </w:rPr>
        <w:t>pero</w:t>
      </w:r>
      <w:r w:rsidR="00C509FB" w:rsidRPr="004D268A">
        <w:rPr>
          <w:rFonts w:asciiTheme="majorHAnsi" w:hAnsiTheme="majorHAnsi"/>
          <w:sz w:val="20"/>
          <w:szCs w:val="20"/>
          <w:lang w:val="es-419"/>
        </w:rPr>
        <w:t xml:space="preserve"> que no fue utilizado. </w:t>
      </w:r>
      <w:r w:rsidR="00803E70">
        <w:rPr>
          <w:rFonts w:asciiTheme="majorHAnsi" w:hAnsiTheme="majorHAnsi"/>
          <w:sz w:val="20"/>
          <w:szCs w:val="20"/>
          <w:lang w:val="es-419"/>
        </w:rPr>
        <w:t>La presunta víctima</w:t>
      </w:r>
      <w:r w:rsidR="00C509FB" w:rsidRPr="004D268A">
        <w:rPr>
          <w:rFonts w:asciiTheme="majorHAnsi" w:hAnsiTheme="majorHAnsi"/>
          <w:sz w:val="20"/>
          <w:szCs w:val="20"/>
          <w:lang w:val="es-419"/>
        </w:rPr>
        <w:t xml:space="preserve"> sostiene que en razón de esos hechos fue perseguido y amenazado por autoridades estatales</w:t>
      </w:r>
      <w:r w:rsidR="00555E3B" w:rsidRPr="004D268A">
        <w:rPr>
          <w:rFonts w:asciiTheme="majorHAnsi" w:hAnsiTheme="majorHAnsi"/>
          <w:sz w:val="20"/>
          <w:szCs w:val="20"/>
          <w:lang w:val="es-419"/>
        </w:rPr>
        <w:t xml:space="preserve">. De otra parte, la presunta víctima </w:t>
      </w:r>
      <w:r w:rsidR="00DC3967" w:rsidRPr="004D268A">
        <w:rPr>
          <w:rFonts w:asciiTheme="majorHAnsi" w:hAnsiTheme="majorHAnsi"/>
          <w:sz w:val="20"/>
          <w:szCs w:val="20"/>
          <w:lang w:val="es-419"/>
        </w:rPr>
        <w:t xml:space="preserve">recusó a las magistradas integrantes del Tribunal </w:t>
      </w:r>
      <w:r w:rsidR="0057141D" w:rsidRPr="004D268A">
        <w:rPr>
          <w:rFonts w:asciiTheme="majorHAnsi" w:hAnsiTheme="majorHAnsi"/>
          <w:sz w:val="20"/>
          <w:szCs w:val="20"/>
          <w:lang w:val="es-419"/>
        </w:rPr>
        <w:t>Duodécimo</w:t>
      </w:r>
      <w:r w:rsidR="00DC3967" w:rsidRPr="004D268A">
        <w:rPr>
          <w:rFonts w:asciiTheme="majorHAnsi" w:hAnsiTheme="majorHAnsi"/>
          <w:sz w:val="20"/>
          <w:szCs w:val="20"/>
          <w:lang w:val="es-419"/>
        </w:rPr>
        <w:t xml:space="preserve"> de Sentencia Penal, </w:t>
      </w:r>
      <w:r w:rsidR="00803E70">
        <w:rPr>
          <w:rFonts w:asciiTheme="majorHAnsi" w:hAnsiTheme="majorHAnsi"/>
          <w:sz w:val="20"/>
          <w:szCs w:val="20"/>
          <w:lang w:val="es-419"/>
        </w:rPr>
        <w:t>que</w:t>
      </w:r>
      <w:r w:rsidR="00DC3967" w:rsidRPr="004D268A">
        <w:rPr>
          <w:rFonts w:asciiTheme="majorHAnsi" w:hAnsiTheme="majorHAnsi"/>
          <w:sz w:val="20"/>
          <w:szCs w:val="20"/>
          <w:lang w:val="es-419"/>
        </w:rPr>
        <w:t xml:space="preserve"> </w:t>
      </w:r>
      <w:r w:rsidR="00803E70" w:rsidRPr="004D268A">
        <w:rPr>
          <w:rFonts w:asciiTheme="majorHAnsi" w:hAnsiTheme="majorHAnsi"/>
          <w:sz w:val="20"/>
          <w:szCs w:val="20"/>
          <w:lang w:val="es-419"/>
        </w:rPr>
        <w:t xml:space="preserve">el 16 de agosto de 2010 </w:t>
      </w:r>
      <w:r w:rsidR="00DC3967" w:rsidRPr="004D268A">
        <w:rPr>
          <w:rFonts w:asciiTheme="majorHAnsi" w:hAnsiTheme="majorHAnsi"/>
          <w:sz w:val="20"/>
          <w:szCs w:val="20"/>
          <w:lang w:val="es-419"/>
        </w:rPr>
        <w:t>se inhibieron de actuar</w:t>
      </w:r>
      <w:r w:rsidR="00803E70">
        <w:rPr>
          <w:rFonts w:asciiTheme="majorHAnsi" w:hAnsiTheme="majorHAnsi"/>
          <w:sz w:val="20"/>
          <w:szCs w:val="20"/>
          <w:lang w:val="es-419"/>
        </w:rPr>
        <w:t>.</w:t>
      </w:r>
      <w:r w:rsidR="00DC3967" w:rsidRPr="004D268A">
        <w:rPr>
          <w:rFonts w:asciiTheme="majorHAnsi" w:hAnsiTheme="majorHAnsi"/>
          <w:sz w:val="20"/>
          <w:szCs w:val="20"/>
          <w:lang w:val="es-419"/>
        </w:rPr>
        <w:t xml:space="preserve"> </w:t>
      </w:r>
      <w:r w:rsidR="00803E70">
        <w:rPr>
          <w:rFonts w:asciiTheme="majorHAnsi" w:hAnsiTheme="majorHAnsi"/>
          <w:sz w:val="20"/>
          <w:szCs w:val="20"/>
          <w:lang w:val="es-419"/>
        </w:rPr>
        <w:t>En</w:t>
      </w:r>
      <w:r w:rsidR="00437C5D" w:rsidRPr="004D268A">
        <w:rPr>
          <w:rFonts w:asciiTheme="majorHAnsi" w:hAnsiTheme="majorHAnsi"/>
          <w:sz w:val="20"/>
          <w:szCs w:val="20"/>
          <w:lang w:val="es-419"/>
        </w:rPr>
        <w:t xml:space="preserve"> los incidentes formados por cuestiones de competencia, la Sala Cuarta de </w:t>
      </w:r>
      <w:r w:rsidR="00803E70" w:rsidRPr="004D268A">
        <w:rPr>
          <w:rFonts w:asciiTheme="majorHAnsi" w:hAnsiTheme="majorHAnsi"/>
          <w:sz w:val="20"/>
          <w:szCs w:val="20"/>
          <w:lang w:val="es-419"/>
        </w:rPr>
        <w:t>Apelaciones</w:t>
      </w:r>
      <w:r w:rsidR="00437C5D" w:rsidRPr="004D268A">
        <w:rPr>
          <w:rFonts w:asciiTheme="majorHAnsi" w:hAnsiTheme="majorHAnsi"/>
          <w:sz w:val="20"/>
          <w:szCs w:val="20"/>
          <w:lang w:val="es-419"/>
        </w:rPr>
        <w:t xml:space="preserve"> tomó intervención y devolvió la causa al Tribunal de origen, qu</w:t>
      </w:r>
      <w:r w:rsidR="00803E70">
        <w:rPr>
          <w:rFonts w:asciiTheme="majorHAnsi" w:hAnsiTheme="majorHAnsi"/>
          <w:sz w:val="20"/>
          <w:szCs w:val="20"/>
          <w:lang w:val="es-419"/>
        </w:rPr>
        <w:t>e</w:t>
      </w:r>
      <w:r w:rsidR="00437C5D" w:rsidRPr="004D268A">
        <w:rPr>
          <w:rFonts w:asciiTheme="majorHAnsi" w:hAnsiTheme="majorHAnsi"/>
          <w:sz w:val="20"/>
          <w:szCs w:val="20"/>
          <w:lang w:val="es-419"/>
        </w:rPr>
        <w:t xml:space="preserve"> citó </w:t>
      </w:r>
      <w:r w:rsidR="00803E70">
        <w:rPr>
          <w:rFonts w:asciiTheme="majorHAnsi" w:hAnsiTheme="majorHAnsi"/>
          <w:sz w:val="20"/>
          <w:szCs w:val="20"/>
          <w:lang w:val="es-419"/>
        </w:rPr>
        <w:t xml:space="preserve">a </w:t>
      </w:r>
      <w:r w:rsidR="00437C5D" w:rsidRPr="004D268A">
        <w:rPr>
          <w:rFonts w:asciiTheme="majorHAnsi" w:hAnsiTheme="majorHAnsi"/>
          <w:sz w:val="20"/>
          <w:szCs w:val="20"/>
          <w:lang w:val="es-419"/>
        </w:rPr>
        <w:t>la presunta víctima a un juicio oral realizado el 31 de agosto de 2011. Por esa razón, afirma que se violó s</w:t>
      </w:r>
      <w:r w:rsidR="00803E70">
        <w:rPr>
          <w:rFonts w:asciiTheme="majorHAnsi" w:hAnsiTheme="majorHAnsi"/>
          <w:sz w:val="20"/>
          <w:szCs w:val="20"/>
          <w:lang w:val="es-419"/>
        </w:rPr>
        <w:t>u derecho a la</w:t>
      </w:r>
      <w:r w:rsidR="00437C5D" w:rsidRPr="004D268A">
        <w:rPr>
          <w:rFonts w:asciiTheme="majorHAnsi" w:hAnsiTheme="majorHAnsi"/>
          <w:sz w:val="20"/>
          <w:szCs w:val="20"/>
          <w:lang w:val="es-419"/>
        </w:rPr>
        <w:t xml:space="preserve"> libertad de expresión. </w:t>
      </w:r>
      <w:r w:rsidR="004346AB" w:rsidRPr="004D268A">
        <w:rPr>
          <w:rFonts w:asciiTheme="majorHAnsi" w:hAnsiTheme="majorHAnsi"/>
          <w:sz w:val="20"/>
          <w:szCs w:val="20"/>
          <w:lang w:val="es-419"/>
        </w:rPr>
        <w:t xml:space="preserve">Asimismo, </w:t>
      </w:r>
      <w:r w:rsidR="00803E70">
        <w:rPr>
          <w:rFonts w:asciiTheme="majorHAnsi" w:hAnsiTheme="majorHAnsi"/>
          <w:sz w:val="20"/>
          <w:szCs w:val="20"/>
          <w:lang w:val="es-419"/>
        </w:rPr>
        <w:t>la presunta víctima</w:t>
      </w:r>
      <w:r w:rsidR="004346AB" w:rsidRPr="004D268A">
        <w:rPr>
          <w:rFonts w:asciiTheme="majorHAnsi" w:hAnsiTheme="majorHAnsi"/>
          <w:sz w:val="20"/>
          <w:szCs w:val="20"/>
          <w:lang w:val="es-419"/>
        </w:rPr>
        <w:t xml:space="preserve"> afirma que el caso fue sobreseído a su favor.</w:t>
      </w:r>
      <w:r w:rsidR="00607F62" w:rsidRPr="004D268A">
        <w:rPr>
          <w:rFonts w:asciiTheme="majorHAnsi" w:hAnsiTheme="majorHAnsi"/>
          <w:sz w:val="20"/>
          <w:szCs w:val="20"/>
          <w:lang w:val="es-419"/>
        </w:rPr>
        <w:t xml:space="preserve"> El 26 de enero de 2015 interpuso recurso de casación ante la Corte Suprema de Justicia y el 2 de febrero de 2015 presentó una acción de amparo en contra la decisión de la Sala Cuarta de Apelaciones. El 9 de noviembre de 2015 </w:t>
      </w:r>
      <w:r w:rsidR="00803E70">
        <w:rPr>
          <w:rFonts w:asciiTheme="majorHAnsi" w:hAnsiTheme="majorHAnsi"/>
          <w:sz w:val="20"/>
          <w:szCs w:val="20"/>
          <w:lang w:val="es-419"/>
        </w:rPr>
        <w:t>la presunta víctima</w:t>
      </w:r>
      <w:r w:rsidR="00607F62" w:rsidRPr="004D268A">
        <w:rPr>
          <w:rFonts w:asciiTheme="majorHAnsi" w:hAnsiTheme="majorHAnsi"/>
          <w:sz w:val="20"/>
          <w:szCs w:val="20"/>
          <w:lang w:val="es-419"/>
        </w:rPr>
        <w:t xml:space="preserve"> denunció ante la Fiscal General del Ministerio </w:t>
      </w:r>
      <w:r w:rsidR="00266B26" w:rsidRPr="004D268A">
        <w:rPr>
          <w:rFonts w:asciiTheme="majorHAnsi" w:hAnsiTheme="majorHAnsi"/>
          <w:sz w:val="20"/>
          <w:szCs w:val="20"/>
          <w:lang w:val="es-419"/>
        </w:rPr>
        <w:t>P</w:t>
      </w:r>
      <w:r w:rsidR="00266B26">
        <w:rPr>
          <w:rFonts w:asciiTheme="majorHAnsi" w:hAnsiTheme="majorHAnsi"/>
          <w:sz w:val="20"/>
          <w:szCs w:val="20"/>
          <w:lang w:val="es-419"/>
        </w:rPr>
        <w:t>úblico</w:t>
      </w:r>
      <w:r w:rsidR="00607F62" w:rsidRPr="004D268A">
        <w:rPr>
          <w:rFonts w:asciiTheme="majorHAnsi" w:hAnsiTheme="majorHAnsi"/>
          <w:sz w:val="20"/>
          <w:szCs w:val="20"/>
          <w:lang w:val="es-419"/>
        </w:rPr>
        <w:t xml:space="preserve"> la acción de los fiscales que supuestamente </w:t>
      </w:r>
      <w:r w:rsidR="00266B26" w:rsidRPr="004D268A">
        <w:rPr>
          <w:rFonts w:asciiTheme="majorHAnsi" w:hAnsiTheme="majorHAnsi"/>
          <w:sz w:val="20"/>
          <w:szCs w:val="20"/>
          <w:lang w:val="es-419"/>
        </w:rPr>
        <w:t>habrían</w:t>
      </w:r>
      <w:r w:rsidR="00607F62" w:rsidRPr="004D268A">
        <w:rPr>
          <w:rFonts w:asciiTheme="majorHAnsi" w:hAnsiTheme="majorHAnsi"/>
          <w:sz w:val="20"/>
          <w:szCs w:val="20"/>
          <w:lang w:val="es-419"/>
        </w:rPr>
        <w:t xml:space="preserve"> sido s</w:t>
      </w:r>
      <w:r w:rsidR="00266B26">
        <w:rPr>
          <w:rFonts w:asciiTheme="majorHAnsi" w:hAnsiTheme="majorHAnsi"/>
          <w:sz w:val="20"/>
          <w:szCs w:val="20"/>
          <w:lang w:val="es-419"/>
        </w:rPr>
        <w:t>o</w:t>
      </w:r>
      <w:r w:rsidR="00607F62" w:rsidRPr="004D268A">
        <w:rPr>
          <w:rFonts w:asciiTheme="majorHAnsi" w:hAnsiTheme="majorHAnsi"/>
          <w:sz w:val="20"/>
          <w:szCs w:val="20"/>
          <w:lang w:val="es-419"/>
        </w:rPr>
        <w:t>bornados para acusarlo.</w:t>
      </w:r>
    </w:p>
    <w:p w14:paraId="5123A52D" w14:textId="0189E2B8" w:rsidR="008E62F0" w:rsidRPr="004D268A" w:rsidRDefault="00266B26" w:rsidP="00437C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Pr>
          <w:rFonts w:asciiTheme="majorHAnsi" w:hAnsiTheme="majorHAnsi"/>
          <w:sz w:val="20"/>
          <w:szCs w:val="20"/>
          <w:lang w:val="es-419"/>
        </w:rPr>
        <w:t>La presunta víctima</w:t>
      </w:r>
      <w:r w:rsidR="008E62F0" w:rsidRPr="004D268A">
        <w:rPr>
          <w:rFonts w:asciiTheme="majorHAnsi" w:hAnsiTheme="majorHAnsi"/>
          <w:sz w:val="20"/>
          <w:szCs w:val="20"/>
          <w:lang w:val="es-419"/>
        </w:rPr>
        <w:t xml:space="preserve"> alega </w:t>
      </w:r>
      <w:r>
        <w:rPr>
          <w:rFonts w:asciiTheme="majorHAnsi" w:hAnsiTheme="majorHAnsi"/>
          <w:sz w:val="20"/>
          <w:szCs w:val="20"/>
          <w:lang w:val="es-419"/>
        </w:rPr>
        <w:t xml:space="preserve">además </w:t>
      </w:r>
      <w:r w:rsidR="008E62F0" w:rsidRPr="004D268A">
        <w:rPr>
          <w:rFonts w:asciiTheme="majorHAnsi" w:hAnsiTheme="majorHAnsi"/>
          <w:sz w:val="20"/>
          <w:szCs w:val="20"/>
          <w:lang w:val="es-419"/>
        </w:rPr>
        <w:t xml:space="preserve">que </w:t>
      </w:r>
      <w:r w:rsidR="009F25C6" w:rsidRPr="004D268A">
        <w:rPr>
          <w:rFonts w:asciiTheme="majorHAnsi" w:hAnsiTheme="majorHAnsi"/>
          <w:sz w:val="20"/>
          <w:szCs w:val="20"/>
          <w:lang w:val="es-419"/>
        </w:rPr>
        <w:t xml:space="preserve">diferentes personas llegaron a su vivienda para decirle que dejara de denunciar </w:t>
      </w:r>
      <w:r>
        <w:rPr>
          <w:rFonts w:asciiTheme="majorHAnsi" w:hAnsiTheme="majorHAnsi"/>
          <w:sz w:val="20"/>
          <w:szCs w:val="20"/>
          <w:lang w:val="es-419"/>
        </w:rPr>
        <w:t xml:space="preserve">a </w:t>
      </w:r>
      <w:r w:rsidR="009F25C6" w:rsidRPr="004D268A">
        <w:rPr>
          <w:rFonts w:asciiTheme="majorHAnsi" w:hAnsiTheme="majorHAnsi"/>
          <w:sz w:val="20"/>
          <w:szCs w:val="20"/>
          <w:lang w:val="es-419"/>
        </w:rPr>
        <w:t xml:space="preserve">los jueces, magistrados y miembros del banco, porque </w:t>
      </w:r>
      <w:r>
        <w:rPr>
          <w:rFonts w:asciiTheme="majorHAnsi" w:hAnsiTheme="majorHAnsi"/>
          <w:sz w:val="20"/>
          <w:szCs w:val="20"/>
          <w:lang w:val="es-419"/>
        </w:rPr>
        <w:t>de lo contrario</w:t>
      </w:r>
      <w:r w:rsidR="009F25C6" w:rsidRPr="004D268A">
        <w:rPr>
          <w:rFonts w:asciiTheme="majorHAnsi" w:hAnsiTheme="majorHAnsi"/>
          <w:sz w:val="20"/>
          <w:szCs w:val="20"/>
          <w:lang w:val="es-419"/>
        </w:rPr>
        <w:t xml:space="preserve"> </w:t>
      </w:r>
      <w:r w:rsidRPr="004D268A">
        <w:rPr>
          <w:rFonts w:asciiTheme="majorHAnsi" w:hAnsiTheme="majorHAnsi"/>
          <w:sz w:val="20"/>
          <w:szCs w:val="20"/>
          <w:lang w:val="es-419"/>
        </w:rPr>
        <w:t>tendría</w:t>
      </w:r>
      <w:r w:rsidR="009F25C6" w:rsidRPr="004D268A">
        <w:rPr>
          <w:rFonts w:asciiTheme="majorHAnsi" w:hAnsiTheme="majorHAnsi"/>
          <w:sz w:val="20"/>
          <w:szCs w:val="20"/>
          <w:lang w:val="es-419"/>
        </w:rPr>
        <w:t xml:space="preserve"> consecuencias.</w:t>
      </w:r>
      <w:r w:rsidR="009229C4" w:rsidRPr="004D268A">
        <w:rPr>
          <w:rFonts w:asciiTheme="majorHAnsi" w:hAnsiTheme="majorHAnsi"/>
          <w:sz w:val="20"/>
          <w:szCs w:val="20"/>
          <w:lang w:val="es-419"/>
        </w:rPr>
        <w:t xml:space="preserve"> Asimismo, la Casa Presidencial y </w:t>
      </w:r>
      <w:r w:rsidR="00510B85" w:rsidRPr="004D268A">
        <w:rPr>
          <w:rFonts w:asciiTheme="majorHAnsi" w:hAnsiTheme="majorHAnsi"/>
          <w:sz w:val="20"/>
          <w:szCs w:val="20"/>
          <w:lang w:val="es-419"/>
        </w:rPr>
        <w:t xml:space="preserve">los directores del Banco de los Trabajadores le indicaron que desistiera de sus denuncias </w:t>
      </w:r>
      <w:r>
        <w:rPr>
          <w:rFonts w:asciiTheme="majorHAnsi" w:hAnsiTheme="majorHAnsi"/>
          <w:sz w:val="20"/>
          <w:szCs w:val="20"/>
          <w:lang w:val="es-419"/>
        </w:rPr>
        <w:t xml:space="preserve">y </w:t>
      </w:r>
      <w:r w:rsidR="00510B85" w:rsidRPr="004D268A">
        <w:rPr>
          <w:rFonts w:asciiTheme="majorHAnsi" w:hAnsiTheme="majorHAnsi"/>
          <w:sz w:val="20"/>
          <w:szCs w:val="20"/>
          <w:lang w:val="es-419"/>
        </w:rPr>
        <w:t>que entregara todos los documentos que tuviera en contra los directores del Banco.</w:t>
      </w:r>
      <w:r w:rsidR="009F25C6" w:rsidRPr="004D268A">
        <w:rPr>
          <w:rFonts w:asciiTheme="majorHAnsi" w:hAnsiTheme="majorHAnsi"/>
          <w:sz w:val="20"/>
          <w:szCs w:val="20"/>
          <w:lang w:val="es-419"/>
        </w:rPr>
        <w:t xml:space="preserve"> Afirma que </w:t>
      </w:r>
      <w:r w:rsidR="0004544A">
        <w:rPr>
          <w:rFonts w:asciiTheme="majorHAnsi" w:hAnsiTheme="majorHAnsi"/>
          <w:sz w:val="20"/>
          <w:szCs w:val="20"/>
          <w:lang w:val="es-419"/>
        </w:rPr>
        <w:t>denunció</w:t>
      </w:r>
      <w:r w:rsidR="0004544A" w:rsidRPr="004D268A" w:rsidDel="00266B26">
        <w:rPr>
          <w:rFonts w:asciiTheme="majorHAnsi" w:hAnsiTheme="majorHAnsi"/>
          <w:sz w:val="20"/>
          <w:szCs w:val="20"/>
          <w:lang w:val="es-419"/>
        </w:rPr>
        <w:t xml:space="preserve"> </w:t>
      </w:r>
      <w:r w:rsidR="0004544A" w:rsidRPr="004D268A">
        <w:rPr>
          <w:rFonts w:asciiTheme="majorHAnsi" w:hAnsiTheme="majorHAnsi"/>
          <w:sz w:val="20"/>
          <w:szCs w:val="20"/>
          <w:lang w:val="es-419"/>
        </w:rPr>
        <w:t>que</w:t>
      </w:r>
      <w:r>
        <w:rPr>
          <w:rFonts w:asciiTheme="majorHAnsi" w:hAnsiTheme="majorHAnsi"/>
          <w:sz w:val="20"/>
          <w:szCs w:val="20"/>
          <w:lang w:val="es-419"/>
        </w:rPr>
        <w:t xml:space="preserve"> estaba siendo seguido por </w:t>
      </w:r>
      <w:r w:rsidR="009229C4" w:rsidRPr="004D268A">
        <w:rPr>
          <w:rFonts w:asciiTheme="majorHAnsi" w:hAnsiTheme="majorHAnsi"/>
          <w:sz w:val="20"/>
          <w:szCs w:val="20"/>
          <w:lang w:val="es-419"/>
        </w:rPr>
        <w:t>vehículos desconocidos</w:t>
      </w:r>
      <w:r>
        <w:rPr>
          <w:rFonts w:asciiTheme="majorHAnsi" w:hAnsiTheme="majorHAnsi"/>
          <w:sz w:val="20"/>
          <w:szCs w:val="20"/>
          <w:lang w:val="es-419"/>
        </w:rPr>
        <w:t xml:space="preserve"> y que </w:t>
      </w:r>
      <w:r w:rsidR="009229C4" w:rsidRPr="004D268A">
        <w:rPr>
          <w:rFonts w:asciiTheme="majorHAnsi" w:hAnsiTheme="majorHAnsi"/>
          <w:sz w:val="20"/>
          <w:szCs w:val="20"/>
          <w:lang w:val="es-419"/>
        </w:rPr>
        <w:t xml:space="preserve">la </w:t>
      </w:r>
      <w:r w:rsidRPr="004D268A">
        <w:rPr>
          <w:rFonts w:asciiTheme="majorHAnsi" w:hAnsiTheme="majorHAnsi"/>
          <w:sz w:val="20"/>
          <w:szCs w:val="20"/>
          <w:lang w:val="es-419"/>
        </w:rPr>
        <w:t>Policía</w:t>
      </w:r>
      <w:r w:rsidR="009229C4" w:rsidRPr="004D268A">
        <w:rPr>
          <w:rFonts w:asciiTheme="majorHAnsi" w:hAnsiTheme="majorHAnsi"/>
          <w:sz w:val="20"/>
          <w:szCs w:val="20"/>
          <w:lang w:val="es-419"/>
        </w:rPr>
        <w:t xml:space="preserve"> Nacional Civil le ofreci</w:t>
      </w:r>
      <w:r>
        <w:rPr>
          <w:rFonts w:asciiTheme="majorHAnsi" w:hAnsiTheme="majorHAnsi"/>
          <w:sz w:val="20"/>
          <w:szCs w:val="20"/>
          <w:lang w:val="es-419"/>
        </w:rPr>
        <w:t>ó</w:t>
      </w:r>
      <w:r w:rsidR="009229C4" w:rsidRPr="004D268A">
        <w:rPr>
          <w:rFonts w:asciiTheme="majorHAnsi" w:hAnsiTheme="majorHAnsi"/>
          <w:sz w:val="20"/>
          <w:szCs w:val="20"/>
          <w:lang w:val="es-419"/>
        </w:rPr>
        <w:t xml:space="preserve"> agentes para darle protección</w:t>
      </w:r>
      <w:r>
        <w:rPr>
          <w:rFonts w:asciiTheme="majorHAnsi" w:hAnsiTheme="majorHAnsi"/>
          <w:sz w:val="20"/>
          <w:szCs w:val="20"/>
          <w:lang w:val="es-419"/>
        </w:rPr>
        <w:t>;</w:t>
      </w:r>
      <w:r w:rsidR="009229C4" w:rsidRPr="004D268A">
        <w:rPr>
          <w:rFonts w:asciiTheme="majorHAnsi" w:hAnsiTheme="majorHAnsi"/>
          <w:sz w:val="20"/>
          <w:szCs w:val="20"/>
          <w:lang w:val="es-419"/>
        </w:rPr>
        <w:t xml:space="preserve"> </w:t>
      </w:r>
      <w:r>
        <w:rPr>
          <w:rFonts w:asciiTheme="majorHAnsi" w:hAnsiTheme="majorHAnsi"/>
          <w:sz w:val="20"/>
          <w:szCs w:val="20"/>
          <w:lang w:val="es-419"/>
        </w:rPr>
        <w:t xml:space="preserve">sin embargo, </w:t>
      </w:r>
      <w:r w:rsidR="009229C4" w:rsidRPr="004D268A">
        <w:rPr>
          <w:rFonts w:asciiTheme="majorHAnsi" w:hAnsiTheme="majorHAnsi"/>
          <w:sz w:val="20"/>
          <w:szCs w:val="20"/>
          <w:lang w:val="es-419"/>
        </w:rPr>
        <w:t xml:space="preserve">no aceptó debido a la crisis institucional de </w:t>
      </w:r>
      <w:r>
        <w:rPr>
          <w:rFonts w:asciiTheme="majorHAnsi" w:hAnsiTheme="majorHAnsi"/>
          <w:sz w:val="20"/>
          <w:szCs w:val="20"/>
          <w:lang w:val="es-419"/>
        </w:rPr>
        <w:t>dicha entidad</w:t>
      </w:r>
      <w:r w:rsidR="009229C4" w:rsidRPr="004D268A">
        <w:rPr>
          <w:rFonts w:asciiTheme="majorHAnsi" w:hAnsiTheme="majorHAnsi"/>
          <w:sz w:val="20"/>
          <w:szCs w:val="20"/>
          <w:lang w:val="es-419"/>
        </w:rPr>
        <w:t xml:space="preserve"> </w:t>
      </w:r>
      <w:r>
        <w:rPr>
          <w:rFonts w:asciiTheme="majorHAnsi" w:hAnsiTheme="majorHAnsi"/>
          <w:sz w:val="20"/>
          <w:szCs w:val="20"/>
          <w:lang w:val="es-419"/>
        </w:rPr>
        <w:t xml:space="preserve">y contrató </w:t>
      </w:r>
      <w:r w:rsidR="009229C4" w:rsidRPr="004D268A">
        <w:rPr>
          <w:rFonts w:asciiTheme="majorHAnsi" w:hAnsiTheme="majorHAnsi"/>
          <w:sz w:val="20"/>
          <w:szCs w:val="20"/>
          <w:lang w:val="es-419"/>
        </w:rPr>
        <w:t xml:space="preserve">agentes </w:t>
      </w:r>
      <w:r>
        <w:rPr>
          <w:rFonts w:asciiTheme="majorHAnsi" w:hAnsiTheme="majorHAnsi"/>
          <w:sz w:val="20"/>
          <w:szCs w:val="20"/>
          <w:lang w:val="es-419"/>
        </w:rPr>
        <w:t xml:space="preserve">de seguridad </w:t>
      </w:r>
      <w:r w:rsidR="009229C4" w:rsidRPr="004D268A">
        <w:rPr>
          <w:rFonts w:asciiTheme="majorHAnsi" w:hAnsiTheme="majorHAnsi"/>
          <w:sz w:val="20"/>
          <w:szCs w:val="20"/>
          <w:lang w:val="es-419"/>
        </w:rPr>
        <w:t>privad</w:t>
      </w:r>
      <w:r>
        <w:rPr>
          <w:rFonts w:asciiTheme="majorHAnsi" w:hAnsiTheme="majorHAnsi"/>
          <w:sz w:val="20"/>
          <w:szCs w:val="20"/>
          <w:lang w:val="es-419"/>
        </w:rPr>
        <w:t>a</w:t>
      </w:r>
      <w:r w:rsidR="009229C4" w:rsidRPr="004D268A">
        <w:rPr>
          <w:rFonts w:asciiTheme="majorHAnsi" w:hAnsiTheme="majorHAnsi"/>
          <w:sz w:val="20"/>
          <w:szCs w:val="20"/>
          <w:lang w:val="es-419"/>
        </w:rPr>
        <w:t>.</w:t>
      </w:r>
      <w:r w:rsidR="006E3874" w:rsidRPr="004D268A">
        <w:rPr>
          <w:rFonts w:asciiTheme="majorHAnsi" w:hAnsiTheme="majorHAnsi"/>
          <w:sz w:val="20"/>
          <w:szCs w:val="20"/>
          <w:lang w:val="es-419"/>
        </w:rPr>
        <w:t xml:space="preserve"> Finalmente, afirma que </w:t>
      </w:r>
      <w:r w:rsidR="00595795" w:rsidRPr="004D268A">
        <w:rPr>
          <w:rFonts w:asciiTheme="majorHAnsi" w:hAnsiTheme="majorHAnsi"/>
          <w:sz w:val="20"/>
          <w:szCs w:val="20"/>
          <w:lang w:val="es-419"/>
        </w:rPr>
        <w:t xml:space="preserve">presentó su </w:t>
      </w:r>
      <w:r w:rsidR="00294E24" w:rsidRPr="004D268A">
        <w:rPr>
          <w:rFonts w:asciiTheme="majorHAnsi" w:hAnsiTheme="majorHAnsi"/>
          <w:sz w:val="20"/>
          <w:szCs w:val="20"/>
          <w:lang w:val="es-419"/>
        </w:rPr>
        <w:t>petición a la CIDH</w:t>
      </w:r>
      <w:r w:rsidR="00595795" w:rsidRPr="004D268A">
        <w:rPr>
          <w:rFonts w:asciiTheme="majorHAnsi" w:hAnsiTheme="majorHAnsi"/>
          <w:sz w:val="20"/>
          <w:szCs w:val="20"/>
          <w:lang w:val="es-419"/>
        </w:rPr>
        <w:t xml:space="preserve"> sin haber agotado los recursos internos, porque </w:t>
      </w:r>
      <w:r>
        <w:rPr>
          <w:rFonts w:asciiTheme="majorHAnsi" w:hAnsiTheme="majorHAnsi"/>
          <w:sz w:val="20"/>
          <w:szCs w:val="20"/>
          <w:lang w:val="es-419"/>
        </w:rPr>
        <w:t>era</w:t>
      </w:r>
      <w:r w:rsidR="00595795" w:rsidRPr="004D268A">
        <w:rPr>
          <w:rFonts w:asciiTheme="majorHAnsi" w:hAnsiTheme="majorHAnsi"/>
          <w:sz w:val="20"/>
          <w:szCs w:val="20"/>
          <w:lang w:val="es-419"/>
        </w:rPr>
        <w:t xml:space="preserve"> evidente la persecución del Estado en </w:t>
      </w:r>
      <w:r w:rsidR="00264EDE">
        <w:rPr>
          <w:rFonts w:asciiTheme="majorHAnsi" w:hAnsiTheme="majorHAnsi"/>
          <w:sz w:val="20"/>
          <w:szCs w:val="20"/>
          <w:lang w:val="es-419"/>
        </w:rPr>
        <w:t xml:space="preserve">su </w:t>
      </w:r>
      <w:r w:rsidR="00595795" w:rsidRPr="004D268A">
        <w:rPr>
          <w:rFonts w:asciiTheme="majorHAnsi" w:hAnsiTheme="majorHAnsi"/>
          <w:sz w:val="20"/>
          <w:szCs w:val="20"/>
          <w:lang w:val="es-419"/>
        </w:rPr>
        <w:t>contra. Afirma que fue impedido de utilizar los recursos disponibles</w:t>
      </w:r>
      <w:r w:rsidR="00264EDE">
        <w:rPr>
          <w:rFonts w:asciiTheme="majorHAnsi" w:hAnsiTheme="majorHAnsi"/>
          <w:sz w:val="20"/>
          <w:szCs w:val="20"/>
          <w:lang w:val="es-419"/>
        </w:rPr>
        <w:t>, y</w:t>
      </w:r>
      <w:r w:rsidR="00595795" w:rsidRPr="004D268A">
        <w:rPr>
          <w:rFonts w:asciiTheme="majorHAnsi" w:hAnsiTheme="majorHAnsi"/>
          <w:sz w:val="20"/>
          <w:szCs w:val="20"/>
          <w:lang w:val="es-419"/>
        </w:rPr>
        <w:t xml:space="preserve"> que hubo un retardo injustificado en las decisiones judiciales.</w:t>
      </w:r>
    </w:p>
    <w:p w14:paraId="5F84A06A" w14:textId="5AC31C6F" w:rsidR="00AA3AC7" w:rsidRPr="004D268A" w:rsidRDefault="00F201DC" w:rsidP="00437C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4D268A">
        <w:rPr>
          <w:rFonts w:asciiTheme="majorHAnsi" w:hAnsiTheme="majorHAnsi"/>
          <w:sz w:val="20"/>
          <w:szCs w:val="20"/>
          <w:lang w:val="es-419"/>
        </w:rPr>
        <w:t xml:space="preserve">Por su </w:t>
      </w:r>
      <w:r w:rsidR="00F44543">
        <w:rPr>
          <w:rFonts w:asciiTheme="majorHAnsi" w:hAnsiTheme="majorHAnsi"/>
          <w:sz w:val="20"/>
          <w:szCs w:val="20"/>
          <w:lang w:val="es-419"/>
        </w:rPr>
        <w:t>parte</w:t>
      </w:r>
      <w:r w:rsidRPr="004D268A">
        <w:rPr>
          <w:rFonts w:asciiTheme="majorHAnsi" w:hAnsiTheme="majorHAnsi"/>
          <w:sz w:val="20"/>
          <w:szCs w:val="20"/>
          <w:lang w:val="es-419"/>
        </w:rPr>
        <w:t xml:space="preserve">, el Estado de Guatemala controvierte los hechos. </w:t>
      </w:r>
      <w:r w:rsidRPr="000D2AFE">
        <w:rPr>
          <w:rFonts w:asciiTheme="majorHAnsi" w:hAnsiTheme="majorHAnsi"/>
          <w:bCs/>
          <w:sz w:val="20"/>
          <w:szCs w:val="20"/>
          <w:lang w:val="es-419"/>
        </w:rPr>
        <w:t xml:space="preserve">Con relación a la primera causa, </w:t>
      </w:r>
      <w:r w:rsidRPr="004D268A">
        <w:rPr>
          <w:rFonts w:asciiTheme="majorHAnsi" w:hAnsiTheme="majorHAnsi"/>
          <w:sz w:val="20"/>
          <w:szCs w:val="20"/>
          <w:lang w:val="es-419"/>
        </w:rPr>
        <w:t xml:space="preserve">afirma que la presunta víctima </w:t>
      </w:r>
      <w:r w:rsidR="00D5671F" w:rsidRPr="004D268A">
        <w:rPr>
          <w:rFonts w:asciiTheme="majorHAnsi" w:hAnsiTheme="majorHAnsi"/>
          <w:sz w:val="20"/>
          <w:szCs w:val="20"/>
          <w:lang w:val="es-419"/>
        </w:rPr>
        <w:t>es sindicada por los delitos de caso especial de estafa, falsificación de documentos privados, uso de documentos falsificado</w:t>
      </w:r>
      <w:r w:rsidR="00F44543">
        <w:rPr>
          <w:rFonts w:asciiTheme="majorHAnsi" w:hAnsiTheme="majorHAnsi"/>
          <w:sz w:val="20"/>
          <w:szCs w:val="20"/>
          <w:lang w:val="es-419"/>
        </w:rPr>
        <w:t>s</w:t>
      </w:r>
      <w:r w:rsidR="00D5671F" w:rsidRPr="004D268A">
        <w:rPr>
          <w:rFonts w:asciiTheme="majorHAnsi" w:hAnsiTheme="majorHAnsi"/>
          <w:sz w:val="20"/>
          <w:szCs w:val="20"/>
          <w:lang w:val="es-419"/>
        </w:rPr>
        <w:t xml:space="preserve"> y actividad</w:t>
      </w:r>
      <w:r w:rsidR="00F44543">
        <w:rPr>
          <w:rFonts w:asciiTheme="majorHAnsi" w:hAnsiTheme="majorHAnsi"/>
          <w:sz w:val="20"/>
          <w:szCs w:val="20"/>
          <w:lang w:val="es-419"/>
        </w:rPr>
        <w:t>es</w:t>
      </w:r>
      <w:r w:rsidR="00D5671F" w:rsidRPr="004D268A">
        <w:rPr>
          <w:rFonts w:asciiTheme="majorHAnsi" w:hAnsiTheme="majorHAnsi"/>
          <w:sz w:val="20"/>
          <w:szCs w:val="20"/>
          <w:lang w:val="es-419"/>
        </w:rPr>
        <w:t xml:space="preserve"> contra la </w:t>
      </w:r>
      <w:r w:rsidR="00F44543">
        <w:rPr>
          <w:rFonts w:asciiTheme="majorHAnsi" w:hAnsiTheme="majorHAnsi"/>
          <w:sz w:val="20"/>
          <w:szCs w:val="20"/>
          <w:lang w:val="es-419"/>
        </w:rPr>
        <w:t>s</w:t>
      </w:r>
      <w:r w:rsidR="00D5671F" w:rsidRPr="004D268A">
        <w:rPr>
          <w:rFonts w:asciiTheme="majorHAnsi" w:hAnsiTheme="majorHAnsi"/>
          <w:sz w:val="20"/>
          <w:szCs w:val="20"/>
          <w:lang w:val="es-419"/>
        </w:rPr>
        <w:t xml:space="preserve">eguridad de la Nación. Derivado de la investigación del Ministerio Público, </w:t>
      </w:r>
      <w:r w:rsidR="00F44543">
        <w:rPr>
          <w:rFonts w:asciiTheme="majorHAnsi" w:hAnsiTheme="majorHAnsi"/>
          <w:sz w:val="20"/>
          <w:szCs w:val="20"/>
          <w:lang w:val="es-419"/>
        </w:rPr>
        <w:t>la presunta víctima</w:t>
      </w:r>
      <w:r w:rsidR="00D5671F" w:rsidRPr="004D268A">
        <w:rPr>
          <w:rFonts w:asciiTheme="majorHAnsi" w:hAnsiTheme="majorHAnsi"/>
          <w:sz w:val="20"/>
          <w:szCs w:val="20"/>
          <w:lang w:val="es-419"/>
        </w:rPr>
        <w:t xml:space="preserve"> fue capturad</w:t>
      </w:r>
      <w:r w:rsidR="00F44543">
        <w:rPr>
          <w:rFonts w:asciiTheme="majorHAnsi" w:hAnsiTheme="majorHAnsi"/>
          <w:sz w:val="20"/>
          <w:szCs w:val="20"/>
          <w:lang w:val="es-419"/>
        </w:rPr>
        <w:t>a</w:t>
      </w:r>
      <w:r w:rsidR="00D5671F" w:rsidRPr="004D268A">
        <w:rPr>
          <w:rFonts w:asciiTheme="majorHAnsi" w:hAnsiTheme="majorHAnsi"/>
          <w:sz w:val="20"/>
          <w:szCs w:val="20"/>
          <w:lang w:val="es-419"/>
        </w:rPr>
        <w:t xml:space="preserve"> el 8 de mayo de 2009. E</w:t>
      </w:r>
      <w:r w:rsidR="00F44543">
        <w:rPr>
          <w:rFonts w:asciiTheme="majorHAnsi" w:hAnsiTheme="majorHAnsi"/>
          <w:sz w:val="20"/>
          <w:szCs w:val="20"/>
          <w:lang w:val="es-419"/>
        </w:rPr>
        <w:t>l</w:t>
      </w:r>
      <w:r w:rsidR="00D5671F" w:rsidRPr="004D268A">
        <w:rPr>
          <w:rFonts w:asciiTheme="majorHAnsi" w:hAnsiTheme="majorHAnsi"/>
          <w:sz w:val="20"/>
          <w:szCs w:val="20"/>
          <w:lang w:val="es-419"/>
        </w:rPr>
        <w:t xml:space="preserve"> Juez de Primera Instancia estableció un plazo de seis meses para que e</w:t>
      </w:r>
      <w:r w:rsidR="00F44543">
        <w:rPr>
          <w:rFonts w:asciiTheme="majorHAnsi" w:hAnsiTheme="majorHAnsi"/>
          <w:sz w:val="20"/>
          <w:szCs w:val="20"/>
          <w:lang w:val="es-419"/>
        </w:rPr>
        <w:t>l</w:t>
      </w:r>
      <w:r w:rsidR="00D5671F" w:rsidRPr="004D268A">
        <w:rPr>
          <w:rFonts w:asciiTheme="majorHAnsi" w:hAnsiTheme="majorHAnsi"/>
          <w:sz w:val="20"/>
          <w:szCs w:val="20"/>
          <w:lang w:val="es-419"/>
        </w:rPr>
        <w:t xml:space="preserve"> Ministerio P</w:t>
      </w:r>
      <w:r w:rsidR="00F44543">
        <w:rPr>
          <w:rFonts w:asciiTheme="majorHAnsi" w:hAnsiTheme="majorHAnsi"/>
          <w:sz w:val="20"/>
          <w:szCs w:val="20"/>
          <w:lang w:val="es-419"/>
        </w:rPr>
        <w:t>ú</w:t>
      </w:r>
      <w:r w:rsidR="00D5671F" w:rsidRPr="004D268A">
        <w:rPr>
          <w:rFonts w:asciiTheme="majorHAnsi" w:hAnsiTheme="majorHAnsi"/>
          <w:sz w:val="20"/>
          <w:szCs w:val="20"/>
          <w:lang w:val="es-419"/>
        </w:rPr>
        <w:t>blico realizara la investigación y presentara la acusación correspondiente. La acusación fue presentada el 20 de noviembre de 2008</w:t>
      </w:r>
      <w:r w:rsidR="00F44543">
        <w:rPr>
          <w:rFonts w:asciiTheme="majorHAnsi" w:hAnsiTheme="majorHAnsi"/>
          <w:sz w:val="20"/>
          <w:szCs w:val="20"/>
          <w:lang w:val="es-419"/>
        </w:rPr>
        <w:t>,</w:t>
      </w:r>
      <w:r w:rsidR="00D5671F" w:rsidRPr="004D268A">
        <w:rPr>
          <w:rFonts w:asciiTheme="majorHAnsi" w:hAnsiTheme="majorHAnsi"/>
          <w:sz w:val="20"/>
          <w:szCs w:val="20"/>
          <w:lang w:val="es-419"/>
        </w:rPr>
        <w:t xml:space="preserve"> y en dicha fecha se solicitó la apertura de juicio en contra de la presunta víctima. El 6 de marzo de 2009, el Juez de Primera Instancia declaró con lugar el </w:t>
      </w:r>
      <w:r w:rsidR="0057141D" w:rsidRPr="004D268A">
        <w:rPr>
          <w:rFonts w:asciiTheme="majorHAnsi" w:hAnsiTheme="majorHAnsi"/>
          <w:sz w:val="20"/>
          <w:szCs w:val="20"/>
          <w:lang w:val="es-419"/>
        </w:rPr>
        <w:t>sobreseimiento</w:t>
      </w:r>
      <w:r w:rsidR="00D5671F" w:rsidRPr="004D268A">
        <w:rPr>
          <w:rFonts w:asciiTheme="majorHAnsi" w:hAnsiTheme="majorHAnsi"/>
          <w:sz w:val="20"/>
          <w:szCs w:val="20"/>
          <w:lang w:val="es-419"/>
        </w:rPr>
        <w:t xml:space="preserve"> a favor de la presunta víctima con relación al delito de actividades contra la seguridad nacional. El 9 de marzo de 2009 </w:t>
      </w:r>
      <w:r w:rsidR="00F44543">
        <w:rPr>
          <w:rFonts w:asciiTheme="majorHAnsi" w:hAnsiTheme="majorHAnsi"/>
          <w:sz w:val="20"/>
          <w:szCs w:val="20"/>
          <w:lang w:val="es-419"/>
        </w:rPr>
        <w:t>se realizó</w:t>
      </w:r>
      <w:r w:rsidR="00D5671F" w:rsidRPr="004D268A">
        <w:rPr>
          <w:rFonts w:asciiTheme="majorHAnsi" w:hAnsiTheme="majorHAnsi"/>
          <w:sz w:val="20"/>
          <w:szCs w:val="20"/>
          <w:lang w:val="es-419"/>
        </w:rPr>
        <w:t xml:space="preserve"> la audiencia y el juzgado resolvió </w:t>
      </w:r>
      <w:r w:rsidR="00F44543">
        <w:rPr>
          <w:rFonts w:asciiTheme="majorHAnsi" w:hAnsiTheme="majorHAnsi"/>
          <w:sz w:val="20"/>
          <w:szCs w:val="20"/>
          <w:lang w:val="es-419"/>
        </w:rPr>
        <w:t>hacer</w:t>
      </w:r>
      <w:r w:rsidR="00D5671F" w:rsidRPr="004D268A">
        <w:rPr>
          <w:rFonts w:asciiTheme="majorHAnsi" w:hAnsiTheme="majorHAnsi"/>
          <w:sz w:val="20"/>
          <w:szCs w:val="20"/>
          <w:lang w:val="es-419"/>
        </w:rPr>
        <w:t xml:space="preserve"> lugar </w:t>
      </w:r>
      <w:r w:rsidR="00F44543">
        <w:rPr>
          <w:rFonts w:asciiTheme="majorHAnsi" w:hAnsiTheme="majorHAnsi"/>
          <w:sz w:val="20"/>
          <w:szCs w:val="20"/>
          <w:lang w:val="es-419"/>
        </w:rPr>
        <w:t>al</w:t>
      </w:r>
      <w:r w:rsidR="00D5671F" w:rsidRPr="004D268A">
        <w:rPr>
          <w:rFonts w:asciiTheme="majorHAnsi" w:hAnsiTheme="majorHAnsi"/>
          <w:sz w:val="20"/>
          <w:szCs w:val="20"/>
          <w:lang w:val="es-419"/>
        </w:rPr>
        <w:t xml:space="preserve"> </w:t>
      </w:r>
      <w:r w:rsidR="00F44543" w:rsidRPr="004D268A">
        <w:rPr>
          <w:rFonts w:asciiTheme="majorHAnsi" w:hAnsiTheme="majorHAnsi"/>
          <w:sz w:val="20"/>
          <w:szCs w:val="20"/>
          <w:lang w:val="es-419"/>
        </w:rPr>
        <w:t>sobreseimiento</w:t>
      </w:r>
      <w:r w:rsidR="00D5671F" w:rsidRPr="004D268A">
        <w:rPr>
          <w:rFonts w:asciiTheme="majorHAnsi" w:hAnsiTheme="majorHAnsi"/>
          <w:sz w:val="20"/>
          <w:szCs w:val="20"/>
          <w:lang w:val="es-419"/>
        </w:rPr>
        <w:t xml:space="preserve"> a favor de la presunta víctima</w:t>
      </w:r>
      <w:r w:rsidR="00F44543">
        <w:rPr>
          <w:rFonts w:asciiTheme="majorHAnsi" w:hAnsiTheme="majorHAnsi"/>
          <w:sz w:val="20"/>
          <w:szCs w:val="20"/>
          <w:lang w:val="es-419"/>
        </w:rPr>
        <w:t>:</w:t>
      </w:r>
      <w:r w:rsidR="00D5671F" w:rsidRPr="004D268A">
        <w:rPr>
          <w:rFonts w:asciiTheme="majorHAnsi" w:hAnsiTheme="majorHAnsi"/>
          <w:sz w:val="20"/>
          <w:szCs w:val="20"/>
          <w:lang w:val="es-419"/>
        </w:rPr>
        <w:t xml:space="preserve"> el 11 de marzo de 2009 el Ministerio P</w:t>
      </w:r>
      <w:r w:rsidR="00F44543">
        <w:rPr>
          <w:rFonts w:asciiTheme="majorHAnsi" w:hAnsiTheme="majorHAnsi"/>
          <w:sz w:val="20"/>
          <w:szCs w:val="20"/>
          <w:lang w:val="es-419"/>
        </w:rPr>
        <w:t>ú</w:t>
      </w:r>
      <w:r w:rsidR="00D5671F" w:rsidRPr="004D268A">
        <w:rPr>
          <w:rFonts w:asciiTheme="majorHAnsi" w:hAnsiTheme="majorHAnsi"/>
          <w:sz w:val="20"/>
          <w:szCs w:val="20"/>
          <w:lang w:val="es-419"/>
        </w:rPr>
        <w:t xml:space="preserve">blico apeló la decisión. </w:t>
      </w:r>
      <w:r w:rsidR="00254B8A" w:rsidRPr="004D268A">
        <w:rPr>
          <w:rFonts w:asciiTheme="majorHAnsi" w:hAnsiTheme="majorHAnsi"/>
          <w:sz w:val="20"/>
          <w:szCs w:val="20"/>
          <w:lang w:val="es-419"/>
        </w:rPr>
        <w:t xml:space="preserve">Por su parte, el querellante adhesivo apeló </w:t>
      </w:r>
      <w:r w:rsidR="00F44543">
        <w:rPr>
          <w:rFonts w:asciiTheme="majorHAnsi" w:hAnsiTheme="majorHAnsi"/>
          <w:sz w:val="20"/>
          <w:szCs w:val="20"/>
          <w:lang w:val="es-419"/>
        </w:rPr>
        <w:t xml:space="preserve">el </w:t>
      </w:r>
      <w:r w:rsidR="00F44543" w:rsidRPr="004D268A">
        <w:rPr>
          <w:rFonts w:asciiTheme="majorHAnsi" w:hAnsiTheme="majorHAnsi"/>
          <w:sz w:val="20"/>
          <w:szCs w:val="20"/>
          <w:lang w:val="es-419"/>
        </w:rPr>
        <w:t>sobreseimiento</w:t>
      </w:r>
      <w:r w:rsidR="00254B8A" w:rsidRPr="004D268A">
        <w:rPr>
          <w:rFonts w:asciiTheme="majorHAnsi" w:hAnsiTheme="majorHAnsi"/>
          <w:sz w:val="20"/>
          <w:szCs w:val="20"/>
          <w:lang w:val="es-419"/>
        </w:rPr>
        <w:t xml:space="preserve"> total decretado</w:t>
      </w:r>
      <w:r w:rsidR="00F44543">
        <w:rPr>
          <w:rFonts w:asciiTheme="majorHAnsi" w:hAnsiTheme="majorHAnsi"/>
          <w:sz w:val="20"/>
          <w:szCs w:val="20"/>
          <w:lang w:val="es-419"/>
        </w:rPr>
        <w:t>,</w:t>
      </w:r>
      <w:r w:rsidR="00254B8A" w:rsidRPr="004D268A">
        <w:rPr>
          <w:rFonts w:asciiTheme="majorHAnsi" w:hAnsiTheme="majorHAnsi"/>
          <w:sz w:val="20"/>
          <w:szCs w:val="20"/>
          <w:lang w:val="es-419"/>
        </w:rPr>
        <w:t xml:space="preserve"> y el 17 de abril de 2009 </w:t>
      </w:r>
      <w:r w:rsidR="00F44543">
        <w:rPr>
          <w:rFonts w:asciiTheme="majorHAnsi" w:hAnsiTheme="majorHAnsi"/>
          <w:sz w:val="20"/>
          <w:szCs w:val="20"/>
          <w:lang w:val="es-419"/>
        </w:rPr>
        <w:t>planteó</w:t>
      </w:r>
      <w:r w:rsidR="00254B8A" w:rsidRPr="004D268A">
        <w:rPr>
          <w:rFonts w:asciiTheme="majorHAnsi" w:hAnsiTheme="majorHAnsi"/>
          <w:sz w:val="20"/>
          <w:szCs w:val="20"/>
          <w:lang w:val="es-419"/>
        </w:rPr>
        <w:t xml:space="preserve"> a la Sala Regional Mixta de Sacatepéquez</w:t>
      </w:r>
      <w:r w:rsidR="00F44543" w:rsidRPr="00F44543">
        <w:rPr>
          <w:rFonts w:asciiTheme="majorHAnsi" w:hAnsiTheme="majorHAnsi"/>
          <w:sz w:val="20"/>
          <w:szCs w:val="20"/>
          <w:lang w:val="es-419"/>
        </w:rPr>
        <w:t xml:space="preserve"> </w:t>
      </w:r>
      <w:r w:rsidR="00F44543">
        <w:rPr>
          <w:rFonts w:asciiTheme="majorHAnsi" w:hAnsiTheme="majorHAnsi"/>
          <w:sz w:val="20"/>
          <w:szCs w:val="20"/>
          <w:lang w:val="es-419"/>
        </w:rPr>
        <w:t xml:space="preserve">que se había realizado </w:t>
      </w:r>
      <w:r w:rsidR="00F44543" w:rsidRPr="004D268A">
        <w:rPr>
          <w:rFonts w:asciiTheme="majorHAnsi" w:hAnsiTheme="majorHAnsi"/>
          <w:sz w:val="20"/>
          <w:szCs w:val="20"/>
          <w:lang w:val="es-419"/>
        </w:rPr>
        <w:t>actividad procesal defectuosa</w:t>
      </w:r>
      <w:r w:rsidR="00254B8A" w:rsidRPr="004D268A">
        <w:rPr>
          <w:rFonts w:asciiTheme="majorHAnsi" w:hAnsiTheme="majorHAnsi"/>
          <w:sz w:val="20"/>
          <w:szCs w:val="20"/>
          <w:lang w:val="es-419"/>
        </w:rPr>
        <w:t xml:space="preserve">, </w:t>
      </w:r>
      <w:r w:rsidR="00F44543">
        <w:rPr>
          <w:rFonts w:asciiTheme="majorHAnsi" w:hAnsiTheme="majorHAnsi"/>
          <w:sz w:val="20"/>
          <w:szCs w:val="20"/>
          <w:lang w:val="es-419"/>
        </w:rPr>
        <w:t>debido</w:t>
      </w:r>
      <w:r w:rsidR="00254B8A" w:rsidRPr="004D268A">
        <w:rPr>
          <w:rFonts w:asciiTheme="majorHAnsi" w:hAnsiTheme="majorHAnsi"/>
          <w:sz w:val="20"/>
          <w:szCs w:val="20"/>
          <w:lang w:val="es-419"/>
        </w:rPr>
        <w:t xml:space="preserve"> </w:t>
      </w:r>
      <w:r w:rsidR="00F44543">
        <w:rPr>
          <w:rFonts w:asciiTheme="majorHAnsi" w:hAnsiTheme="majorHAnsi"/>
          <w:sz w:val="20"/>
          <w:szCs w:val="20"/>
          <w:lang w:val="es-419"/>
        </w:rPr>
        <w:t xml:space="preserve">a </w:t>
      </w:r>
      <w:r w:rsidR="00254B8A" w:rsidRPr="004D268A">
        <w:rPr>
          <w:rFonts w:asciiTheme="majorHAnsi" w:hAnsiTheme="majorHAnsi"/>
          <w:sz w:val="20"/>
          <w:szCs w:val="20"/>
          <w:lang w:val="es-419"/>
        </w:rPr>
        <w:t xml:space="preserve">que </w:t>
      </w:r>
      <w:r w:rsidR="00F44543">
        <w:rPr>
          <w:rFonts w:asciiTheme="majorHAnsi" w:hAnsiTheme="majorHAnsi"/>
          <w:sz w:val="20"/>
          <w:szCs w:val="20"/>
          <w:lang w:val="es-419"/>
        </w:rPr>
        <w:t xml:space="preserve">en </w:t>
      </w:r>
      <w:r w:rsidR="00254B8A" w:rsidRPr="004D268A">
        <w:rPr>
          <w:rFonts w:asciiTheme="majorHAnsi" w:hAnsiTheme="majorHAnsi"/>
          <w:sz w:val="20"/>
          <w:szCs w:val="20"/>
          <w:lang w:val="es-419"/>
        </w:rPr>
        <w:t xml:space="preserve">todo el proceso no </w:t>
      </w:r>
      <w:r w:rsidR="00011A80" w:rsidRPr="004D268A">
        <w:rPr>
          <w:rFonts w:asciiTheme="majorHAnsi" w:hAnsiTheme="majorHAnsi"/>
          <w:sz w:val="20"/>
          <w:szCs w:val="20"/>
          <w:lang w:val="es-419"/>
        </w:rPr>
        <w:t>se había</w:t>
      </w:r>
      <w:r w:rsidR="00F44543">
        <w:rPr>
          <w:rFonts w:asciiTheme="majorHAnsi" w:hAnsiTheme="majorHAnsi"/>
          <w:sz w:val="20"/>
          <w:szCs w:val="20"/>
          <w:lang w:val="es-419"/>
        </w:rPr>
        <w:t xml:space="preserve"> dado </w:t>
      </w:r>
      <w:r w:rsidR="00254B8A" w:rsidRPr="004D268A">
        <w:rPr>
          <w:rFonts w:asciiTheme="majorHAnsi" w:hAnsiTheme="majorHAnsi"/>
          <w:sz w:val="20"/>
          <w:szCs w:val="20"/>
          <w:lang w:val="es-419"/>
        </w:rPr>
        <w:t>intervención a la Procuraduría General de la Nación. La Sala Jurisdiccional declaró con lugar la actividad procesal defectuosa y ordenó que se dier</w:t>
      </w:r>
      <w:r w:rsidR="00F44543">
        <w:rPr>
          <w:rFonts w:asciiTheme="majorHAnsi" w:hAnsiTheme="majorHAnsi"/>
          <w:sz w:val="20"/>
          <w:szCs w:val="20"/>
          <w:lang w:val="es-419"/>
        </w:rPr>
        <w:t>a</w:t>
      </w:r>
      <w:r w:rsidR="00254B8A" w:rsidRPr="004D268A">
        <w:rPr>
          <w:rFonts w:asciiTheme="majorHAnsi" w:hAnsiTheme="majorHAnsi"/>
          <w:sz w:val="20"/>
          <w:szCs w:val="20"/>
          <w:lang w:val="es-419"/>
        </w:rPr>
        <w:t xml:space="preserve"> intervención a la Procuraduría General. Ante dicha decisión, </w:t>
      </w:r>
      <w:r w:rsidR="001549B6">
        <w:rPr>
          <w:rFonts w:asciiTheme="majorHAnsi" w:hAnsiTheme="majorHAnsi"/>
          <w:sz w:val="20"/>
          <w:szCs w:val="20"/>
          <w:lang w:val="es-419"/>
        </w:rPr>
        <w:t>la presunta víctima</w:t>
      </w:r>
      <w:r w:rsidR="00254B8A" w:rsidRPr="004D268A">
        <w:rPr>
          <w:rFonts w:asciiTheme="majorHAnsi" w:hAnsiTheme="majorHAnsi"/>
          <w:sz w:val="20"/>
          <w:szCs w:val="20"/>
          <w:lang w:val="es-419"/>
        </w:rPr>
        <w:t xml:space="preserve"> presentó un recurso de reposición y una acción de amparo</w:t>
      </w:r>
      <w:r w:rsidR="001549B6">
        <w:rPr>
          <w:rFonts w:asciiTheme="majorHAnsi" w:hAnsiTheme="majorHAnsi"/>
          <w:sz w:val="20"/>
          <w:szCs w:val="20"/>
          <w:lang w:val="es-419"/>
        </w:rPr>
        <w:t>;</w:t>
      </w:r>
      <w:r w:rsidR="00254B8A" w:rsidRPr="004D268A">
        <w:rPr>
          <w:rFonts w:asciiTheme="majorHAnsi" w:hAnsiTheme="majorHAnsi"/>
          <w:sz w:val="20"/>
          <w:szCs w:val="20"/>
          <w:lang w:val="es-419"/>
        </w:rPr>
        <w:t xml:space="preserve"> </w:t>
      </w:r>
      <w:r w:rsidR="001549B6">
        <w:rPr>
          <w:rFonts w:asciiTheme="majorHAnsi" w:hAnsiTheme="majorHAnsi"/>
          <w:sz w:val="20"/>
          <w:szCs w:val="20"/>
          <w:lang w:val="es-419"/>
        </w:rPr>
        <w:t>el</w:t>
      </w:r>
      <w:r w:rsidR="00254B8A" w:rsidRPr="004D268A">
        <w:rPr>
          <w:rFonts w:asciiTheme="majorHAnsi" w:hAnsiTheme="majorHAnsi"/>
          <w:sz w:val="20"/>
          <w:szCs w:val="20"/>
          <w:lang w:val="es-419"/>
        </w:rPr>
        <w:t xml:space="preserve"> amparo fue denegado por la Cámara de Amparo y Antejuicio de la Corte Suprema de Justicia el 24 de agosto de 2010. El 15 </w:t>
      </w:r>
      <w:r w:rsidR="00AA3AC7" w:rsidRPr="004D268A">
        <w:rPr>
          <w:rFonts w:asciiTheme="majorHAnsi" w:hAnsiTheme="majorHAnsi"/>
          <w:sz w:val="20"/>
          <w:szCs w:val="20"/>
          <w:lang w:val="es-419"/>
        </w:rPr>
        <w:t xml:space="preserve">de julio de 2010 la presunta víctima interpuso </w:t>
      </w:r>
      <w:r w:rsidR="001549B6">
        <w:rPr>
          <w:rFonts w:asciiTheme="majorHAnsi" w:hAnsiTheme="majorHAnsi"/>
          <w:sz w:val="20"/>
          <w:szCs w:val="20"/>
          <w:lang w:val="es-419"/>
        </w:rPr>
        <w:t xml:space="preserve">una </w:t>
      </w:r>
      <w:r w:rsidR="00AA3AC7" w:rsidRPr="004D268A">
        <w:rPr>
          <w:rFonts w:asciiTheme="majorHAnsi" w:hAnsiTheme="majorHAnsi"/>
          <w:sz w:val="20"/>
          <w:szCs w:val="20"/>
          <w:lang w:val="es-419"/>
        </w:rPr>
        <w:t>acción de inconstitucionalidad contra de la err</w:t>
      </w:r>
      <w:r w:rsidR="001549B6">
        <w:rPr>
          <w:rFonts w:asciiTheme="majorHAnsi" w:hAnsiTheme="majorHAnsi"/>
          <w:sz w:val="20"/>
          <w:szCs w:val="20"/>
          <w:lang w:val="es-419"/>
        </w:rPr>
        <w:t>ó</w:t>
      </w:r>
      <w:r w:rsidR="00AA3AC7" w:rsidRPr="004D268A">
        <w:rPr>
          <w:rFonts w:asciiTheme="majorHAnsi" w:hAnsiTheme="majorHAnsi"/>
          <w:sz w:val="20"/>
          <w:szCs w:val="20"/>
          <w:lang w:val="es-419"/>
        </w:rPr>
        <w:t>nea aplicación del artículo 116 de Código Procesal Penal, por considerar que contravino lo dispue</w:t>
      </w:r>
      <w:r w:rsidR="001549B6">
        <w:rPr>
          <w:rFonts w:asciiTheme="majorHAnsi" w:hAnsiTheme="majorHAnsi"/>
          <w:sz w:val="20"/>
          <w:szCs w:val="20"/>
          <w:lang w:val="es-419"/>
        </w:rPr>
        <w:t>s</w:t>
      </w:r>
      <w:r w:rsidR="00AA3AC7" w:rsidRPr="004D268A">
        <w:rPr>
          <w:rFonts w:asciiTheme="majorHAnsi" w:hAnsiTheme="majorHAnsi"/>
          <w:sz w:val="20"/>
          <w:szCs w:val="20"/>
          <w:lang w:val="es-419"/>
        </w:rPr>
        <w:t xml:space="preserve">to en el artículo 252 de la Constitución de Guatemala. La acción de inconstitucionalidad fue juzgada improcedente el 29 de abril de 2011. </w:t>
      </w:r>
    </w:p>
    <w:p w14:paraId="7E0AE004" w14:textId="6F74E467" w:rsidR="00F201DC" w:rsidRPr="004D268A" w:rsidRDefault="00AA3AC7" w:rsidP="002269D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4D268A">
        <w:rPr>
          <w:rFonts w:asciiTheme="majorHAnsi" w:hAnsiTheme="majorHAnsi"/>
          <w:sz w:val="20"/>
          <w:szCs w:val="20"/>
          <w:lang w:val="es-419"/>
        </w:rPr>
        <w:lastRenderedPageBreak/>
        <w:t>El Estado afirma que despu</w:t>
      </w:r>
      <w:r w:rsidR="001549B6">
        <w:rPr>
          <w:rFonts w:asciiTheme="majorHAnsi" w:hAnsiTheme="majorHAnsi"/>
          <w:sz w:val="20"/>
          <w:szCs w:val="20"/>
          <w:lang w:val="es-419"/>
        </w:rPr>
        <w:t>és</w:t>
      </w:r>
      <w:r w:rsidRPr="004D268A">
        <w:rPr>
          <w:rFonts w:asciiTheme="majorHAnsi" w:hAnsiTheme="majorHAnsi"/>
          <w:sz w:val="20"/>
          <w:szCs w:val="20"/>
          <w:lang w:val="es-419"/>
        </w:rPr>
        <w:t xml:space="preserve"> de todos los recursos planteados</w:t>
      </w:r>
      <w:r w:rsidR="001549B6">
        <w:rPr>
          <w:rFonts w:asciiTheme="majorHAnsi" w:hAnsiTheme="majorHAnsi"/>
          <w:sz w:val="20"/>
          <w:szCs w:val="20"/>
          <w:lang w:val="es-419"/>
        </w:rPr>
        <w:t>,</w:t>
      </w:r>
      <w:r w:rsidRPr="004D268A">
        <w:rPr>
          <w:rFonts w:asciiTheme="majorHAnsi" w:hAnsiTheme="majorHAnsi"/>
          <w:sz w:val="20"/>
          <w:szCs w:val="20"/>
          <w:lang w:val="es-419"/>
        </w:rPr>
        <w:t xml:space="preserve"> la Sala Regional Mixta de la Corte de Apelaciones de Antigua Guatemala resolvió proseguir el proceso penal contra la presunta víctima por los delitos de caso especial de estafa, falsificación de documentos privados y uso de documentos falsificados. El 6 de marzo de 2012 la Sala Regional Mixta resolvió la apelación y revocó la decisión venida en grado. En virtud de </w:t>
      </w:r>
      <w:r w:rsidR="001549B6">
        <w:rPr>
          <w:rFonts w:asciiTheme="majorHAnsi" w:hAnsiTheme="majorHAnsi"/>
          <w:sz w:val="20"/>
          <w:szCs w:val="20"/>
          <w:lang w:val="es-419"/>
        </w:rPr>
        <w:t>ello</w:t>
      </w:r>
      <w:r w:rsidRPr="004D268A">
        <w:rPr>
          <w:rFonts w:asciiTheme="majorHAnsi" w:hAnsiTheme="majorHAnsi"/>
          <w:sz w:val="20"/>
          <w:szCs w:val="20"/>
          <w:lang w:val="es-419"/>
        </w:rPr>
        <w:t xml:space="preserve">, el Juez de Primera Instancia emitió </w:t>
      </w:r>
      <w:r w:rsidR="001549B6">
        <w:rPr>
          <w:rFonts w:asciiTheme="majorHAnsi" w:hAnsiTheme="majorHAnsi"/>
          <w:sz w:val="20"/>
          <w:szCs w:val="20"/>
          <w:lang w:val="es-419"/>
        </w:rPr>
        <w:t xml:space="preserve">una </w:t>
      </w:r>
      <w:r w:rsidRPr="004D268A">
        <w:rPr>
          <w:rFonts w:asciiTheme="majorHAnsi" w:hAnsiTheme="majorHAnsi"/>
          <w:sz w:val="20"/>
          <w:szCs w:val="20"/>
          <w:lang w:val="es-419"/>
        </w:rPr>
        <w:t>r</w:t>
      </w:r>
      <w:r w:rsidR="001549B6">
        <w:rPr>
          <w:rFonts w:asciiTheme="majorHAnsi" w:hAnsiTheme="majorHAnsi"/>
          <w:sz w:val="20"/>
          <w:szCs w:val="20"/>
          <w:lang w:val="es-419"/>
        </w:rPr>
        <w:t>e</w:t>
      </w:r>
      <w:r w:rsidRPr="004D268A">
        <w:rPr>
          <w:rFonts w:asciiTheme="majorHAnsi" w:hAnsiTheme="majorHAnsi"/>
          <w:sz w:val="20"/>
          <w:szCs w:val="20"/>
          <w:lang w:val="es-419"/>
        </w:rPr>
        <w:t xml:space="preserve">solución de auto de apertura a juicio el 11 de abril de 2013. </w:t>
      </w:r>
      <w:r w:rsidR="002269D4" w:rsidRPr="004D268A">
        <w:rPr>
          <w:rFonts w:asciiTheme="majorHAnsi" w:hAnsiTheme="majorHAnsi"/>
          <w:sz w:val="20"/>
          <w:szCs w:val="20"/>
          <w:lang w:val="es-419"/>
        </w:rPr>
        <w:t xml:space="preserve">Según el Estado, </w:t>
      </w:r>
      <w:r w:rsidR="001549B6">
        <w:rPr>
          <w:rFonts w:asciiTheme="majorHAnsi" w:hAnsiTheme="majorHAnsi"/>
          <w:sz w:val="20"/>
          <w:szCs w:val="20"/>
          <w:lang w:val="es-419"/>
        </w:rPr>
        <w:t>la presunta víctima</w:t>
      </w:r>
      <w:r w:rsidR="002269D4" w:rsidRPr="004D268A">
        <w:rPr>
          <w:rFonts w:asciiTheme="majorHAnsi" w:hAnsiTheme="majorHAnsi"/>
          <w:sz w:val="20"/>
          <w:szCs w:val="20"/>
          <w:lang w:val="es-419"/>
        </w:rPr>
        <w:t xml:space="preserve"> presentó una acción de amparo que impidió seguir el curso del proceso penal</w:t>
      </w:r>
      <w:r w:rsidR="001549B6">
        <w:rPr>
          <w:rFonts w:asciiTheme="majorHAnsi" w:hAnsiTheme="majorHAnsi"/>
          <w:sz w:val="20"/>
          <w:szCs w:val="20"/>
          <w:lang w:val="es-419"/>
        </w:rPr>
        <w:t>;</w:t>
      </w:r>
      <w:r w:rsidR="002269D4" w:rsidRPr="004D268A">
        <w:rPr>
          <w:rFonts w:asciiTheme="majorHAnsi" w:hAnsiTheme="majorHAnsi"/>
          <w:sz w:val="20"/>
          <w:szCs w:val="20"/>
          <w:lang w:val="es-419"/>
        </w:rPr>
        <w:t xml:space="preserve"> y que </w:t>
      </w:r>
      <w:r w:rsidR="001549B6">
        <w:rPr>
          <w:rFonts w:asciiTheme="majorHAnsi" w:hAnsiTheme="majorHAnsi"/>
          <w:sz w:val="20"/>
          <w:szCs w:val="20"/>
          <w:lang w:val="es-419"/>
        </w:rPr>
        <w:t xml:space="preserve">dicho recurso </w:t>
      </w:r>
      <w:r w:rsidR="002269D4" w:rsidRPr="004D268A">
        <w:rPr>
          <w:rFonts w:asciiTheme="majorHAnsi" w:hAnsiTheme="majorHAnsi"/>
          <w:sz w:val="20"/>
          <w:szCs w:val="20"/>
          <w:lang w:val="es-419"/>
        </w:rPr>
        <w:t>fue denegad</w:t>
      </w:r>
      <w:r w:rsidR="001549B6">
        <w:rPr>
          <w:rFonts w:asciiTheme="majorHAnsi" w:hAnsiTheme="majorHAnsi"/>
          <w:sz w:val="20"/>
          <w:szCs w:val="20"/>
          <w:lang w:val="es-419"/>
        </w:rPr>
        <w:t>o</w:t>
      </w:r>
      <w:r w:rsidR="002269D4" w:rsidRPr="004D268A">
        <w:rPr>
          <w:rFonts w:asciiTheme="majorHAnsi" w:hAnsiTheme="majorHAnsi"/>
          <w:sz w:val="20"/>
          <w:szCs w:val="20"/>
          <w:lang w:val="es-419"/>
        </w:rPr>
        <w:t xml:space="preserve"> el 14 de febrero de 2013. </w:t>
      </w:r>
      <w:r w:rsidR="001549B6">
        <w:rPr>
          <w:rFonts w:asciiTheme="majorHAnsi" w:hAnsiTheme="majorHAnsi"/>
          <w:sz w:val="20"/>
          <w:szCs w:val="20"/>
          <w:lang w:val="es-419"/>
        </w:rPr>
        <w:t>La presunta víctima</w:t>
      </w:r>
      <w:r w:rsidR="002269D4" w:rsidRPr="004D268A">
        <w:rPr>
          <w:rFonts w:asciiTheme="majorHAnsi" w:hAnsiTheme="majorHAnsi"/>
          <w:sz w:val="20"/>
          <w:szCs w:val="20"/>
          <w:lang w:val="es-419"/>
        </w:rPr>
        <w:t xml:space="preserve"> interpuso </w:t>
      </w:r>
      <w:r w:rsidR="001549B6">
        <w:rPr>
          <w:rFonts w:asciiTheme="majorHAnsi" w:hAnsiTheme="majorHAnsi"/>
          <w:sz w:val="20"/>
          <w:szCs w:val="20"/>
          <w:lang w:val="es-419"/>
        </w:rPr>
        <w:t xml:space="preserve">una </w:t>
      </w:r>
      <w:r w:rsidR="002269D4" w:rsidRPr="004D268A">
        <w:rPr>
          <w:rFonts w:asciiTheme="majorHAnsi" w:hAnsiTheme="majorHAnsi"/>
          <w:sz w:val="20"/>
          <w:szCs w:val="20"/>
          <w:lang w:val="es-419"/>
        </w:rPr>
        <w:t xml:space="preserve">apelación contra la sentencia de amparo, </w:t>
      </w:r>
      <w:r w:rsidR="001549B6">
        <w:rPr>
          <w:rFonts w:asciiTheme="majorHAnsi" w:hAnsiTheme="majorHAnsi"/>
          <w:sz w:val="20"/>
          <w:szCs w:val="20"/>
          <w:lang w:val="es-419"/>
        </w:rPr>
        <w:t xml:space="preserve">que fue </w:t>
      </w:r>
      <w:r w:rsidR="002269D4" w:rsidRPr="004D268A">
        <w:rPr>
          <w:rFonts w:asciiTheme="majorHAnsi" w:hAnsiTheme="majorHAnsi"/>
          <w:sz w:val="20"/>
          <w:szCs w:val="20"/>
          <w:lang w:val="es-419"/>
        </w:rPr>
        <w:t>declara</w:t>
      </w:r>
      <w:r w:rsidR="001549B6">
        <w:rPr>
          <w:rFonts w:asciiTheme="majorHAnsi" w:hAnsiTheme="majorHAnsi"/>
          <w:sz w:val="20"/>
          <w:szCs w:val="20"/>
          <w:lang w:val="es-419"/>
        </w:rPr>
        <w:t>da</w:t>
      </w:r>
      <w:r w:rsidR="002269D4" w:rsidRPr="004D268A">
        <w:rPr>
          <w:rFonts w:asciiTheme="majorHAnsi" w:hAnsiTheme="majorHAnsi"/>
          <w:sz w:val="20"/>
          <w:szCs w:val="20"/>
          <w:lang w:val="es-419"/>
        </w:rPr>
        <w:t xml:space="preserve"> sin lugar por la Corte de Constitucionalidad, por no concurrir las circunstancias que </w:t>
      </w:r>
      <w:r w:rsidR="001549B6">
        <w:rPr>
          <w:rFonts w:asciiTheme="majorHAnsi" w:hAnsiTheme="majorHAnsi"/>
          <w:sz w:val="20"/>
          <w:szCs w:val="20"/>
          <w:lang w:val="es-419"/>
        </w:rPr>
        <w:t xml:space="preserve">requieren </w:t>
      </w:r>
      <w:r w:rsidR="002269D4" w:rsidRPr="004D268A">
        <w:rPr>
          <w:rFonts w:asciiTheme="majorHAnsi" w:hAnsiTheme="majorHAnsi"/>
          <w:sz w:val="20"/>
          <w:szCs w:val="20"/>
          <w:lang w:val="es-419"/>
        </w:rPr>
        <w:t>protección constitucional. Posteriormente,</w:t>
      </w:r>
      <w:r w:rsidR="008A0C67">
        <w:rPr>
          <w:rFonts w:asciiTheme="majorHAnsi" w:hAnsiTheme="majorHAnsi"/>
          <w:sz w:val="20"/>
          <w:szCs w:val="20"/>
          <w:lang w:val="es-419"/>
        </w:rPr>
        <w:t xml:space="preserve"> </w:t>
      </w:r>
      <w:r w:rsidR="002269D4" w:rsidRPr="004D268A">
        <w:rPr>
          <w:rFonts w:asciiTheme="majorHAnsi" w:hAnsiTheme="majorHAnsi"/>
          <w:sz w:val="20"/>
          <w:szCs w:val="20"/>
          <w:lang w:val="es-419"/>
        </w:rPr>
        <w:t xml:space="preserve">se realizó una audiencia de ofrecimiento de prueba </w:t>
      </w:r>
      <w:r w:rsidR="008A0C67">
        <w:rPr>
          <w:rFonts w:asciiTheme="majorHAnsi" w:hAnsiTheme="majorHAnsi"/>
          <w:sz w:val="20"/>
          <w:szCs w:val="20"/>
          <w:lang w:val="es-419"/>
        </w:rPr>
        <w:t>el</w:t>
      </w:r>
      <w:r w:rsidR="002269D4" w:rsidRPr="004D268A">
        <w:rPr>
          <w:rFonts w:asciiTheme="majorHAnsi" w:hAnsiTheme="majorHAnsi"/>
          <w:sz w:val="20"/>
          <w:szCs w:val="20"/>
          <w:lang w:val="es-419"/>
        </w:rPr>
        <w:t xml:space="preserve"> 12 de octubre de 2016 debido </w:t>
      </w:r>
      <w:r w:rsidR="008A0C67" w:rsidRPr="004D268A">
        <w:rPr>
          <w:rFonts w:asciiTheme="majorHAnsi" w:hAnsiTheme="majorHAnsi"/>
          <w:sz w:val="20"/>
          <w:szCs w:val="20"/>
          <w:lang w:val="es-419"/>
        </w:rPr>
        <w:t>a</w:t>
      </w:r>
      <w:r w:rsidR="008A0C67">
        <w:rPr>
          <w:rFonts w:asciiTheme="majorHAnsi" w:hAnsiTheme="majorHAnsi"/>
          <w:sz w:val="20"/>
          <w:szCs w:val="20"/>
          <w:lang w:val="es-419"/>
        </w:rPr>
        <w:t>l</w:t>
      </w:r>
      <w:r w:rsidR="002269D4" w:rsidRPr="004D268A">
        <w:rPr>
          <w:rFonts w:asciiTheme="majorHAnsi" w:hAnsiTheme="majorHAnsi"/>
          <w:sz w:val="20"/>
          <w:szCs w:val="20"/>
          <w:lang w:val="es-419"/>
        </w:rPr>
        <w:t xml:space="preserve"> </w:t>
      </w:r>
      <w:r w:rsidR="008A0C67" w:rsidRPr="004D268A">
        <w:rPr>
          <w:rFonts w:asciiTheme="majorHAnsi" w:hAnsiTheme="majorHAnsi"/>
          <w:sz w:val="20"/>
          <w:szCs w:val="20"/>
          <w:lang w:val="es-419"/>
        </w:rPr>
        <w:t>planteamiento</w:t>
      </w:r>
      <w:r w:rsidR="008A0C67">
        <w:rPr>
          <w:rFonts w:asciiTheme="majorHAnsi" w:hAnsiTheme="majorHAnsi"/>
          <w:sz w:val="20"/>
          <w:szCs w:val="20"/>
          <w:lang w:val="es-419"/>
        </w:rPr>
        <w:t xml:space="preserve"> de </w:t>
      </w:r>
      <w:r w:rsidR="002269D4" w:rsidRPr="004D268A">
        <w:rPr>
          <w:rFonts w:asciiTheme="majorHAnsi" w:hAnsiTheme="majorHAnsi"/>
          <w:sz w:val="20"/>
          <w:szCs w:val="20"/>
          <w:lang w:val="es-419"/>
        </w:rPr>
        <w:t xml:space="preserve">una serie de incidentes, recursos de reposición, apelaciones </w:t>
      </w:r>
      <w:r w:rsidR="008A0C67">
        <w:rPr>
          <w:rFonts w:asciiTheme="majorHAnsi" w:hAnsiTheme="majorHAnsi"/>
          <w:sz w:val="20"/>
          <w:szCs w:val="20"/>
          <w:lang w:val="es-419"/>
        </w:rPr>
        <w:t>y</w:t>
      </w:r>
      <w:r w:rsidR="002269D4" w:rsidRPr="004D268A">
        <w:rPr>
          <w:rFonts w:asciiTheme="majorHAnsi" w:hAnsiTheme="majorHAnsi"/>
          <w:sz w:val="20"/>
          <w:szCs w:val="20"/>
          <w:lang w:val="es-419"/>
        </w:rPr>
        <w:t xml:space="preserve"> otros recursos presentados por </w:t>
      </w:r>
      <w:r w:rsidR="008A0C67">
        <w:rPr>
          <w:rFonts w:asciiTheme="majorHAnsi" w:hAnsiTheme="majorHAnsi"/>
          <w:sz w:val="20"/>
          <w:szCs w:val="20"/>
          <w:lang w:val="es-419"/>
        </w:rPr>
        <w:t xml:space="preserve">la presunta víctima, </w:t>
      </w:r>
      <w:r w:rsidR="002269D4" w:rsidRPr="004D268A">
        <w:rPr>
          <w:rFonts w:asciiTheme="majorHAnsi" w:hAnsiTheme="majorHAnsi"/>
          <w:sz w:val="20"/>
          <w:szCs w:val="20"/>
          <w:lang w:val="es-419"/>
        </w:rPr>
        <w:t xml:space="preserve">que retrasaron el proceso. </w:t>
      </w:r>
    </w:p>
    <w:p w14:paraId="0240EDAC" w14:textId="60BFD55E" w:rsidR="00DA4070" w:rsidRPr="004D268A" w:rsidRDefault="002269D4" w:rsidP="00F445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4D268A">
        <w:rPr>
          <w:rFonts w:asciiTheme="majorHAnsi" w:hAnsiTheme="majorHAnsi"/>
          <w:sz w:val="20"/>
          <w:szCs w:val="20"/>
          <w:lang w:val="es-419"/>
        </w:rPr>
        <w:t>Asimismo, el Estado alega que la presunta víctima presentó dos recursos de casación. El primer</w:t>
      </w:r>
      <w:r w:rsidR="00872153" w:rsidRPr="004D268A">
        <w:rPr>
          <w:rFonts w:asciiTheme="majorHAnsi" w:hAnsiTheme="majorHAnsi"/>
          <w:sz w:val="20"/>
          <w:szCs w:val="20"/>
          <w:lang w:val="es-419"/>
        </w:rPr>
        <w:t>o</w:t>
      </w:r>
      <w:r w:rsidRPr="004D268A">
        <w:rPr>
          <w:rFonts w:asciiTheme="majorHAnsi" w:hAnsiTheme="majorHAnsi"/>
          <w:sz w:val="20"/>
          <w:szCs w:val="20"/>
          <w:lang w:val="es-419"/>
        </w:rPr>
        <w:t xml:space="preserve"> </w:t>
      </w:r>
      <w:r w:rsidR="006679C3">
        <w:rPr>
          <w:rFonts w:asciiTheme="majorHAnsi" w:hAnsiTheme="majorHAnsi"/>
          <w:sz w:val="20"/>
          <w:szCs w:val="20"/>
          <w:lang w:val="es-419"/>
        </w:rPr>
        <w:t xml:space="preserve">de ellos </w:t>
      </w:r>
      <w:r w:rsidRPr="004D268A">
        <w:rPr>
          <w:rFonts w:asciiTheme="majorHAnsi" w:hAnsiTheme="majorHAnsi"/>
          <w:sz w:val="20"/>
          <w:szCs w:val="20"/>
          <w:lang w:val="es-419"/>
        </w:rPr>
        <w:t xml:space="preserve">fue presentado contra la resolución de 6 de marzo de 2012 dictada por la Sala Regional </w:t>
      </w:r>
      <w:r w:rsidR="00EF2847" w:rsidRPr="004D268A">
        <w:rPr>
          <w:rFonts w:asciiTheme="majorHAnsi" w:hAnsiTheme="majorHAnsi"/>
          <w:sz w:val="20"/>
          <w:szCs w:val="20"/>
          <w:lang w:val="es-419"/>
        </w:rPr>
        <w:t>M</w:t>
      </w:r>
      <w:r w:rsidRPr="004D268A">
        <w:rPr>
          <w:rFonts w:asciiTheme="majorHAnsi" w:hAnsiTheme="majorHAnsi"/>
          <w:sz w:val="20"/>
          <w:szCs w:val="20"/>
          <w:lang w:val="es-419"/>
        </w:rPr>
        <w:t xml:space="preserve">ixta de la Corte de Apelaciones de Antigua </w:t>
      </w:r>
      <w:r w:rsidR="006679C3" w:rsidRPr="004D268A">
        <w:rPr>
          <w:rFonts w:asciiTheme="majorHAnsi" w:hAnsiTheme="majorHAnsi"/>
          <w:sz w:val="20"/>
          <w:szCs w:val="20"/>
          <w:lang w:val="es-419"/>
        </w:rPr>
        <w:t>Guatemala</w:t>
      </w:r>
      <w:r w:rsidR="006679C3">
        <w:rPr>
          <w:rFonts w:asciiTheme="majorHAnsi" w:hAnsiTheme="majorHAnsi"/>
          <w:sz w:val="20"/>
          <w:szCs w:val="20"/>
          <w:lang w:val="es-419"/>
        </w:rPr>
        <w:t>; fue</w:t>
      </w:r>
      <w:r w:rsidR="00872153" w:rsidRPr="004D268A">
        <w:rPr>
          <w:rFonts w:asciiTheme="majorHAnsi" w:hAnsiTheme="majorHAnsi"/>
          <w:sz w:val="20"/>
          <w:szCs w:val="20"/>
          <w:lang w:val="es-419"/>
        </w:rPr>
        <w:t xml:space="preserve"> rechazado </w:t>
      </w:r>
      <w:r w:rsidR="006679C3">
        <w:rPr>
          <w:rFonts w:asciiTheme="majorHAnsi" w:hAnsiTheme="majorHAnsi"/>
          <w:sz w:val="20"/>
          <w:szCs w:val="20"/>
          <w:lang w:val="es-419"/>
        </w:rPr>
        <w:t xml:space="preserve">posteriormente </w:t>
      </w:r>
      <w:r w:rsidR="00872153" w:rsidRPr="004D268A">
        <w:rPr>
          <w:rFonts w:asciiTheme="majorHAnsi" w:hAnsiTheme="majorHAnsi"/>
          <w:sz w:val="20"/>
          <w:szCs w:val="20"/>
          <w:lang w:val="es-419"/>
        </w:rPr>
        <w:t xml:space="preserve">por la Corte Suprema de Justicia, pues la decisión de la Sala Regional Mixta no </w:t>
      </w:r>
      <w:r w:rsidR="006679C3" w:rsidRPr="004D268A">
        <w:rPr>
          <w:rFonts w:asciiTheme="majorHAnsi" w:hAnsiTheme="majorHAnsi"/>
          <w:sz w:val="20"/>
          <w:szCs w:val="20"/>
          <w:lang w:val="es-419"/>
        </w:rPr>
        <w:t>tenía</w:t>
      </w:r>
      <w:r w:rsidR="00872153" w:rsidRPr="004D268A">
        <w:rPr>
          <w:rFonts w:asciiTheme="majorHAnsi" w:hAnsiTheme="majorHAnsi"/>
          <w:sz w:val="20"/>
          <w:szCs w:val="20"/>
          <w:lang w:val="es-419"/>
        </w:rPr>
        <w:t xml:space="preserve"> carácter definitiv</w:t>
      </w:r>
      <w:r w:rsidR="006679C3">
        <w:rPr>
          <w:rFonts w:asciiTheme="majorHAnsi" w:hAnsiTheme="majorHAnsi"/>
          <w:sz w:val="20"/>
          <w:szCs w:val="20"/>
          <w:lang w:val="es-419"/>
        </w:rPr>
        <w:t>o</w:t>
      </w:r>
      <w:r w:rsidR="00872153" w:rsidRPr="004D268A">
        <w:rPr>
          <w:rFonts w:asciiTheme="majorHAnsi" w:hAnsiTheme="majorHAnsi"/>
          <w:sz w:val="20"/>
          <w:szCs w:val="20"/>
          <w:lang w:val="es-419"/>
        </w:rPr>
        <w:t xml:space="preserve">. El segundo </w:t>
      </w:r>
      <w:r w:rsidR="006679C3">
        <w:rPr>
          <w:rFonts w:asciiTheme="majorHAnsi" w:hAnsiTheme="majorHAnsi"/>
          <w:sz w:val="20"/>
          <w:szCs w:val="20"/>
          <w:lang w:val="es-419"/>
        </w:rPr>
        <w:t xml:space="preserve">recurso de casación </w:t>
      </w:r>
      <w:r w:rsidR="00872153" w:rsidRPr="004D268A">
        <w:rPr>
          <w:rFonts w:asciiTheme="majorHAnsi" w:hAnsiTheme="majorHAnsi"/>
          <w:sz w:val="20"/>
          <w:szCs w:val="20"/>
          <w:lang w:val="es-419"/>
        </w:rPr>
        <w:t>fue present</w:t>
      </w:r>
      <w:r w:rsidR="00EF2847" w:rsidRPr="004D268A">
        <w:rPr>
          <w:rFonts w:asciiTheme="majorHAnsi" w:hAnsiTheme="majorHAnsi"/>
          <w:sz w:val="20"/>
          <w:szCs w:val="20"/>
          <w:lang w:val="es-419"/>
        </w:rPr>
        <w:t>ado contra la resolución de 6 de marzo de 2012</w:t>
      </w:r>
      <w:r w:rsidR="006679C3">
        <w:rPr>
          <w:rFonts w:asciiTheme="majorHAnsi" w:hAnsiTheme="majorHAnsi"/>
          <w:sz w:val="20"/>
          <w:szCs w:val="20"/>
          <w:lang w:val="es-419"/>
        </w:rPr>
        <w:t>,</w:t>
      </w:r>
      <w:r w:rsidR="00EF2847" w:rsidRPr="004D268A">
        <w:rPr>
          <w:rFonts w:asciiTheme="majorHAnsi" w:hAnsiTheme="majorHAnsi"/>
          <w:sz w:val="20"/>
          <w:szCs w:val="20"/>
          <w:lang w:val="es-419"/>
        </w:rPr>
        <w:t xml:space="preserve"> también dictada por la Sala Regional Mixta de la Corte de Apelaciones de Antigua Guatemala</w:t>
      </w:r>
      <w:r w:rsidR="006679C3">
        <w:rPr>
          <w:rFonts w:asciiTheme="majorHAnsi" w:hAnsiTheme="majorHAnsi"/>
          <w:sz w:val="20"/>
          <w:szCs w:val="20"/>
          <w:lang w:val="es-419"/>
        </w:rPr>
        <w:t>;</w:t>
      </w:r>
      <w:r w:rsidR="00C53154" w:rsidRPr="004D268A">
        <w:rPr>
          <w:rFonts w:asciiTheme="majorHAnsi" w:hAnsiTheme="majorHAnsi"/>
          <w:sz w:val="20"/>
          <w:szCs w:val="20"/>
          <w:lang w:val="es-419"/>
        </w:rPr>
        <w:t xml:space="preserve"> y fue </w:t>
      </w:r>
      <w:r w:rsidR="006679C3">
        <w:rPr>
          <w:rFonts w:asciiTheme="majorHAnsi" w:hAnsiTheme="majorHAnsi"/>
          <w:sz w:val="20"/>
          <w:szCs w:val="20"/>
          <w:lang w:val="es-419"/>
        </w:rPr>
        <w:t xml:space="preserve">igualmente </w:t>
      </w:r>
      <w:r w:rsidR="00C53154" w:rsidRPr="004D268A">
        <w:rPr>
          <w:rFonts w:asciiTheme="majorHAnsi" w:hAnsiTheme="majorHAnsi"/>
          <w:sz w:val="20"/>
          <w:szCs w:val="20"/>
          <w:lang w:val="es-419"/>
        </w:rPr>
        <w:t>rechazado por la Corte Suprema de Justicia</w:t>
      </w:r>
      <w:r w:rsidR="006679C3">
        <w:rPr>
          <w:rFonts w:asciiTheme="majorHAnsi" w:hAnsiTheme="majorHAnsi"/>
          <w:sz w:val="20"/>
          <w:szCs w:val="20"/>
          <w:lang w:val="es-419"/>
        </w:rPr>
        <w:t xml:space="preserve"> por el carácter no definitivo de la decisión recurrida</w:t>
      </w:r>
      <w:r w:rsidR="00C53154" w:rsidRPr="004D268A">
        <w:rPr>
          <w:rFonts w:asciiTheme="majorHAnsi" w:hAnsiTheme="majorHAnsi"/>
          <w:sz w:val="20"/>
          <w:szCs w:val="20"/>
          <w:lang w:val="es-419"/>
        </w:rPr>
        <w:t xml:space="preserve">. </w:t>
      </w:r>
    </w:p>
    <w:p w14:paraId="2889BC56" w14:textId="5EE4DF27" w:rsidR="00372E54" w:rsidRPr="004D268A" w:rsidRDefault="006679C3" w:rsidP="00876D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Pr>
          <w:rFonts w:asciiTheme="majorHAnsi" w:hAnsiTheme="majorHAnsi"/>
          <w:sz w:val="20"/>
          <w:szCs w:val="20"/>
          <w:lang w:val="es-419"/>
        </w:rPr>
        <w:t>En c</w:t>
      </w:r>
      <w:r w:rsidR="00C53154" w:rsidRPr="004D268A">
        <w:rPr>
          <w:rFonts w:asciiTheme="majorHAnsi" w:hAnsiTheme="majorHAnsi"/>
          <w:sz w:val="20"/>
          <w:szCs w:val="20"/>
          <w:lang w:val="es-419"/>
        </w:rPr>
        <w:t>uanto a la situación actual del proceso penal, el Estado afirma que el Ministerio P</w:t>
      </w:r>
      <w:r>
        <w:rPr>
          <w:rFonts w:asciiTheme="majorHAnsi" w:hAnsiTheme="majorHAnsi"/>
          <w:sz w:val="20"/>
          <w:szCs w:val="20"/>
          <w:lang w:val="es-419"/>
        </w:rPr>
        <w:t>ú</w:t>
      </w:r>
      <w:r w:rsidR="00C53154" w:rsidRPr="004D268A">
        <w:rPr>
          <w:rFonts w:asciiTheme="majorHAnsi" w:hAnsiTheme="majorHAnsi"/>
          <w:sz w:val="20"/>
          <w:szCs w:val="20"/>
          <w:lang w:val="es-419"/>
        </w:rPr>
        <w:t>blico ha velado por que se respeten las garantías judiciales</w:t>
      </w:r>
      <w:r w:rsidR="00913ED8" w:rsidRPr="004D268A">
        <w:rPr>
          <w:rFonts w:asciiTheme="majorHAnsi" w:hAnsiTheme="majorHAnsi"/>
          <w:sz w:val="20"/>
          <w:szCs w:val="20"/>
          <w:lang w:val="es-419"/>
        </w:rPr>
        <w:t>. Asimismo</w:t>
      </w:r>
      <w:r>
        <w:rPr>
          <w:rFonts w:asciiTheme="majorHAnsi" w:hAnsiTheme="majorHAnsi"/>
          <w:sz w:val="20"/>
          <w:szCs w:val="20"/>
          <w:lang w:val="es-419"/>
        </w:rPr>
        <w:t>,</w:t>
      </w:r>
      <w:r w:rsidR="00913ED8" w:rsidRPr="004D268A">
        <w:rPr>
          <w:rFonts w:asciiTheme="majorHAnsi" w:hAnsiTheme="majorHAnsi"/>
          <w:sz w:val="20"/>
          <w:szCs w:val="20"/>
          <w:lang w:val="es-419"/>
        </w:rPr>
        <w:t xml:space="preserve"> indica que los órganos judiciales han resuelto </w:t>
      </w:r>
      <w:r w:rsidR="00F24138" w:rsidRPr="004D268A">
        <w:rPr>
          <w:rFonts w:asciiTheme="majorHAnsi" w:hAnsiTheme="majorHAnsi"/>
          <w:sz w:val="20"/>
          <w:szCs w:val="20"/>
          <w:lang w:val="es-419"/>
        </w:rPr>
        <w:t xml:space="preserve">los procesos </w:t>
      </w:r>
      <w:r>
        <w:rPr>
          <w:rFonts w:asciiTheme="majorHAnsi" w:hAnsiTheme="majorHAnsi"/>
          <w:sz w:val="20"/>
          <w:szCs w:val="20"/>
          <w:lang w:val="es-419"/>
        </w:rPr>
        <w:t xml:space="preserve">conforme a </w:t>
      </w:r>
      <w:r w:rsidR="00F24138" w:rsidRPr="004D268A">
        <w:rPr>
          <w:rFonts w:asciiTheme="majorHAnsi" w:hAnsiTheme="majorHAnsi"/>
          <w:sz w:val="20"/>
          <w:szCs w:val="20"/>
          <w:lang w:val="es-419"/>
        </w:rPr>
        <w:t xml:space="preserve">derecho, y que </w:t>
      </w:r>
      <w:r>
        <w:rPr>
          <w:rFonts w:asciiTheme="majorHAnsi" w:hAnsiTheme="majorHAnsi"/>
          <w:sz w:val="20"/>
          <w:szCs w:val="20"/>
          <w:lang w:val="es-419"/>
        </w:rPr>
        <w:t>la presunta víctima</w:t>
      </w:r>
      <w:r w:rsidR="00F24138" w:rsidRPr="004D268A">
        <w:rPr>
          <w:rFonts w:asciiTheme="majorHAnsi" w:hAnsiTheme="majorHAnsi"/>
          <w:sz w:val="20"/>
          <w:szCs w:val="20"/>
          <w:lang w:val="es-419"/>
        </w:rPr>
        <w:t xml:space="preserve"> utiliz</w:t>
      </w:r>
      <w:r>
        <w:rPr>
          <w:rFonts w:asciiTheme="majorHAnsi" w:hAnsiTheme="majorHAnsi"/>
          <w:sz w:val="20"/>
          <w:szCs w:val="20"/>
          <w:lang w:val="es-419"/>
        </w:rPr>
        <w:t>ó</w:t>
      </w:r>
      <w:r w:rsidR="00F24138" w:rsidRPr="004D268A">
        <w:rPr>
          <w:rFonts w:asciiTheme="majorHAnsi" w:hAnsiTheme="majorHAnsi"/>
          <w:sz w:val="20"/>
          <w:szCs w:val="20"/>
          <w:lang w:val="es-419"/>
        </w:rPr>
        <w:t xml:space="preserve"> excesivamente recursos (una serie de recursos de reposición, apelación, incidentes, amparos y apelaciones de amparos</w:t>
      </w:r>
      <w:r>
        <w:rPr>
          <w:rFonts w:asciiTheme="majorHAnsi" w:hAnsiTheme="majorHAnsi"/>
          <w:sz w:val="20"/>
          <w:szCs w:val="20"/>
          <w:lang w:val="es-419"/>
        </w:rPr>
        <w:t>,</w:t>
      </w:r>
      <w:r w:rsidR="00F24138" w:rsidRPr="004D268A">
        <w:rPr>
          <w:rFonts w:asciiTheme="majorHAnsi" w:hAnsiTheme="majorHAnsi"/>
          <w:sz w:val="20"/>
          <w:szCs w:val="20"/>
          <w:lang w:val="es-419"/>
        </w:rPr>
        <w:t xml:space="preserve"> entre otros), </w:t>
      </w:r>
      <w:r>
        <w:rPr>
          <w:rFonts w:asciiTheme="majorHAnsi" w:hAnsiTheme="majorHAnsi"/>
          <w:sz w:val="20"/>
          <w:szCs w:val="20"/>
          <w:lang w:val="es-419"/>
        </w:rPr>
        <w:t xml:space="preserve">lo que </w:t>
      </w:r>
      <w:r w:rsidR="00F24138" w:rsidRPr="004D268A">
        <w:rPr>
          <w:rFonts w:asciiTheme="majorHAnsi" w:hAnsiTheme="majorHAnsi"/>
          <w:sz w:val="20"/>
          <w:szCs w:val="20"/>
          <w:lang w:val="es-419"/>
        </w:rPr>
        <w:t>gener</w:t>
      </w:r>
      <w:r>
        <w:rPr>
          <w:rFonts w:asciiTheme="majorHAnsi" w:hAnsiTheme="majorHAnsi"/>
          <w:sz w:val="20"/>
          <w:szCs w:val="20"/>
          <w:lang w:val="es-419"/>
        </w:rPr>
        <w:t xml:space="preserve">ó la </w:t>
      </w:r>
      <w:r w:rsidR="00F24138" w:rsidRPr="004D268A">
        <w:rPr>
          <w:rFonts w:asciiTheme="majorHAnsi" w:hAnsiTheme="majorHAnsi"/>
          <w:sz w:val="20"/>
          <w:szCs w:val="20"/>
          <w:lang w:val="es-419"/>
        </w:rPr>
        <w:t xml:space="preserve">demora en el proceso. Afirma que el proceso penal está en </w:t>
      </w:r>
      <w:r w:rsidR="00372E54" w:rsidRPr="004D268A">
        <w:rPr>
          <w:rFonts w:asciiTheme="majorHAnsi" w:hAnsiTheme="majorHAnsi"/>
          <w:sz w:val="20"/>
          <w:szCs w:val="20"/>
          <w:lang w:val="es-419"/>
        </w:rPr>
        <w:t xml:space="preserve">curso y que no </w:t>
      </w:r>
      <w:r>
        <w:rPr>
          <w:rFonts w:asciiTheme="majorHAnsi" w:hAnsiTheme="majorHAnsi"/>
          <w:sz w:val="20"/>
          <w:szCs w:val="20"/>
          <w:lang w:val="es-419"/>
        </w:rPr>
        <w:t xml:space="preserve">se </w:t>
      </w:r>
      <w:r w:rsidR="00372E54" w:rsidRPr="004D268A">
        <w:rPr>
          <w:rFonts w:asciiTheme="majorHAnsi" w:hAnsiTheme="majorHAnsi"/>
          <w:sz w:val="20"/>
          <w:szCs w:val="20"/>
          <w:lang w:val="es-419"/>
        </w:rPr>
        <w:t>han agotado los recursos internos.</w:t>
      </w:r>
      <w:r w:rsidR="00DA4070" w:rsidRPr="004D268A">
        <w:rPr>
          <w:rFonts w:asciiTheme="majorHAnsi" w:hAnsiTheme="majorHAnsi"/>
          <w:sz w:val="20"/>
          <w:szCs w:val="20"/>
          <w:lang w:val="es-419"/>
        </w:rPr>
        <w:t xml:space="preserve"> </w:t>
      </w:r>
      <w:r>
        <w:rPr>
          <w:rFonts w:asciiTheme="majorHAnsi" w:hAnsiTheme="majorHAnsi"/>
          <w:sz w:val="20"/>
          <w:szCs w:val="20"/>
          <w:lang w:val="es-419"/>
        </w:rPr>
        <w:t xml:space="preserve">Refiere </w:t>
      </w:r>
      <w:r w:rsidR="00DA4070" w:rsidRPr="004D268A">
        <w:rPr>
          <w:rFonts w:asciiTheme="majorHAnsi" w:hAnsiTheme="majorHAnsi"/>
          <w:sz w:val="20"/>
          <w:szCs w:val="20"/>
          <w:lang w:val="es-419"/>
        </w:rPr>
        <w:t xml:space="preserve">que </w:t>
      </w:r>
      <w:r>
        <w:rPr>
          <w:rFonts w:asciiTheme="majorHAnsi" w:hAnsiTheme="majorHAnsi"/>
          <w:sz w:val="20"/>
          <w:szCs w:val="20"/>
          <w:lang w:val="es-419"/>
        </w:rPr>
        <w:t xml:space="preserve">la </w:t>
      </w:r>
      <w:r w:rsidR="00DA4070" w:rsidRPr="004D268A">
        <w:rPr>
          <w:rFonts w:asciiTheme="majorHAnsi" w:hAnsiTheme="majorHAnsi"/>
          <w:sz w:val="20"/>
          <w:szCs w:val="20"/>
          <w:lang w:val="es-419"/>
        </w:rPr>
        <w:t xml:space="preserve">información presentada por el propio peticionario </w:t>
      </w:r>
      <w:r>
        <w:rPr>
          <w:rFonts w:asciiTheme="majorHAnsi" w:hAnsiTheme="majorHAnsi"/>
          <w:sz w:val="20"/>
          <w:szCs w:val="20"/>
          <w:lang w:val="es-419"/>
        </w:rPr>
        <w:t xml:space="preserve">revela que </w:t>
      </w:r>
      <w:r w:rsidR="00DA4070" w:rsidRPr="004D268A">
        <w:rPr>
          <w:rFonts w:asciiTheme="majorHAnsi" w:hAnsiTheme="majorHAnsi"/>
          <w:sz w:val="20"/>
          <w:szCs w:val="20"/>
          <w:lang w:val="es-419"/>
        </w:rPr>
        <w:t xml:space="preserve">su proceso penal </w:t>
      </w:r>
      <w:r>
        <w:rPr>
          <w:rFonts w:asciiTheme="majorHAnsi" w:hAnsiTheme="majorHAnsi"/>
          <w:sz w:val="20"/>
          <w:szCs w:val="20"/>
          <w:lang w:val="es-419"/>
        </w:rPr>
        <w:t xml:space="preserve">se </w:t>
      </w:r>
      <w:r w:rsidR="00DA4070" w:rsidRPr="004D268A">
        <w:rPr>
          <w:rFonts w:asciiTheme="majorHAnsi" w:hAnsiTheme="majorHAnsi"/>
          <w:sz w:val="20"/>
          <w:szCs w:val="20"/>
          <w:lang w:val="es-419"/>
        </w:rPr>
        <w:t>inició el 5 de agosto de 2008</w:t>
      </w:r>
      <w:r>
        <w:rPr>
          <w:rFonts w:asciiTheme="majorHAnsi" w:hAnsiTheme="majorHAnsi"/>
          <w:sz w:val="20"/>
          <w:szCs w:val="20"/>
          <w:lang w:val="es-419"/>
        </w:rPr>
        <w:t>,</w:t>
      </w:r>
      <w:r w:rsidR="00DA4070" w:rsidRPr="004D268A">
        <w:rPr>
          <w:rFonts w:asciiTheme="majorHAnsi" w:hAnsiTheme="majorHAnsi"/>
          <w:sz w:val="20"/>
          <w:szCs w:val="20"/>
          <w:lang w:val="es-419"/>
        </w:rPr>
        <w:t xml:space="preserve"> y </w:t>
      </w:r>
      <w:r>
        <w:rPr>
          <w:rFonts w:asciiTheme="majorHAnsi" w:hAnsiTheme="majorHAnsi"/>
          <w:sz w:val="20"/>
          <w:szCs w:val="20"/>
          <w:lang w:val="es-419"/>
        </w:rPr>
        <w:t xml:space="preserve">que </w:t>
      </w:r>
      <w:r w:rsidR="00DA4070" w:rsidRPr="004D268A">
        <w:rPr>
          <w:rFonts w:asciiTheme="majorHAnsi" w:hAnsiTheme="majorHAnsi"/>
          <w:sz w:val="20"/>
          <w:szCs w:val="20"/>
          <w:lang w:val="es-419"/>
        </w:rPr>
        <w:t xml:space="preserve">tres meses después presentó su denuncia a la CIDH, </w:t>
      </w:r>
      <w:r>
        <w:rPr>
          <w:rFonts w:asciiTheme="majorHAnsi" w:hAnsiTheme="majorHAnsi"/>
          <w:sz w:val="20"/>
          <w:szCs w:val="20"/>
          <w:lang w:val="es-419"/>
        </w:rPr>
        <w:t>por lo que no habría cumplido</w:t>
      </w:r>
      <w:r w:rsidR="00DA4070" w:rsidRPr="004D268A">
        <w:rPr>
          <w:rFonts w:asciiTheme="majorHAnsi" w:hAnsiTheme="majorHAnsi"/>
          <w:sz w:val="20"/>
          <w:szCs w:val="20"/>
          <w:lang w:val="es-419"/>
        </w:rPr>
        <w:t xml:space="preserve"> </w:t>
      </w:r>
      <w:r>
        <w:rPr>
          <w:rFonts w:asciiTheme="majorHAnsi" w:hAnsiTheme="majorHAnsi"/>
          <w:sz w:val="20"/>
          <w:szCs w:val="20"/>
          <w:lang w:val="es-419"/>
        </w:rPr>
        <w:t xml:space="preserve">lo </w:t>
      </w:r>
      <w:r w:rsidR="00DA4070" w:rsidRPr="004D268A">
        <w:rPr>
          <w:rFonts w:asciiTheme="majorHAnsi" w:hAnsiTheme="majorHAnsi"/>
          <w:sz w:val="20"/>
          <w:szCs w:val="20"/>
          <w:lang w:val="es-419"/>
        </w:rPr>
        <w:t>establecido por el artículo 46.1 de la C</w:t>
      </w:r>
      <w:r>
        <w:rPr>
          <w:rFonts w:asciiTheme="majorHAnsi" w:hAnsiTheme="majorHAnsi"/>
          <w:sz w:val="20"/>
          <w:szCs w:val="20"/>
          <w:lang w:val="es-419"/>
        </w:rPr>
        <w:t>onvención Americana</w:t>
      </w:r>
      <w:r w:rsidR="00DA4070" w:rsidRPr="004D268A">
        <w:rPr>
          <w:rFonts w:asciiTheme="majorHAnsi" w:hAnsiTheme="majorHAnsi"/>
          <w:sz w:val="20"/>
          <w:szCs w:val="20"/>
          <w:lang w:val="es-419"/>
        </w:rPr>
        <w:t>. Alega que no se violar</w:t>
      </w:r>
      <w:r>
        <w:rPr>
          <w:rFonts w:asciiTheme="majorHAnsi" w:hAnsiTheme="majorHAnsi"/>
          <w:sz w:val="20"/>
          <w:szCs w:val="20"/>
          <w:lang w:val="es-419"/>
        </w:rPr>
        <w:t>on</w:t>
      </w:r>
      <w:r w:rsidR="00DA4070" w:rsidRPr="004D268A">
        <w:rPr>
          <w:rFonts w:asciiTheme="majorHAnsi" w:hAnsiTheme="majorHAnsi"/>
          <w:sz w:val="20"/>
          <w:szCs w:val="20"/>
          <w:lang w:val="es-419"/>
        </w:rPr>
        <w:t xml:space="preserve"> </w:t>
      </w:r>
      <w:r>
        <w:rPr>
          <w:rFonts w:asciiTheme="majorHAnsi" w:hAnsiTheme="majorHAnsi"/>
          <w:sz w:val="20"/>
          <w:szCs w:val="20"/>
          <w:lang w:val="es-419"/>
        </w:rPr>
        <w:t xml:space="preserve">los derechos a </w:t>
      </w:r>
      <w:r w:rsidR="00DA4070" w:rsidRPr="004D268A">
        <w:rPr>
          <w:rFonts w:asciiTheme="majorHAnsi" w:hAnsiTheme="majorHAnsi"/>
          <w:sz w:val="20"/>
          <w:szCs w:val="20"/>
          <w:lang w:val="es-419"/>
        </w:rPr>
        <w:t xml:space="preserve">las garantías </w:t>
      </w:r>
      <w:r w:rsidRPr="004D268A">
        <w:rPr>
          <w:rFonts w:asciiTheme="majorHAnsi" w:hAnsiTheme="majorHAnsi"/>
          <w:sz w:val="20"/>
          <w:szCs w:val="20"/>
          <w:lang w:val="es-419"/>
        </w:rPr>
        <w:t>judiciales</w:t>
      </w:r>
      <w:r w:rsidR="00DA4070" w:rsidRPr="004D268A">
        <w:rPr>
          <w:rFonts w:asciiTheme="majorHAnsi" w:hAnsiTheme="majorHAnsi"/>
          <w:sz w:val="20"/>
          <w:szCs w:val="20"/>
          <w:lang w:val="es-419"/>
        </w:rPr>
        <w:t xml:space="preserve"> </w:t>
      </w:r>
      <w:r>
        <w:rPr>
          <w:rFonts w:asciiTheme="majorHAnsi" w:hAnsiTheme="majorHAnsi"/>
          <w:sz w:val="20"/>
          <w:szCs w:val="20"/>
          <w:lang w:val="es-419"/>
        </w:rPr>
        <w:t xml:space="preserve">ni </w:t>
      </w:r>
      <w:r w:rsidR="00DA4070" w:rsidRPr="004D268A">
        <w:rPr>
          <w:rFonts w:asciiTheme="majorHAnsi" w:hAnsiTheme="majorHAnsi"/>
          <w:sz w:val="20"/>
          <w:szCs w:val="20"/>
          <w:lang w:val="es-419"/>
        </w:rPr>
        <w:t xml:space="preserve">a la protección judicial de la presunta víctima. </w:t>
      </w:r>
      <w:r>
        <w:rPr>
          <w:rFonts w:asciiTheme="majorHAnsi" w:hAnsiTheme="majorHAnsi"/>
          <w:sz w:val="20"/>
          <w:szCs w:val="20"/>
          <w:lang w:val="es-419"/>
        </w:rPr>
        <w:t>Finalmente</w:t>
      </w:r>
      <w:r w:rsidR="00DA4070" w:rsidRPr="004D268A">
        <w:rPr>
          <w:rFonts w:asciiTheme="majorHAnsi" w:hAnsiTheme="majorHAnsi"/>
          <w:sz w:val="20"/>
          <w:szCs w:val="20"/>
          <w:lang w:val="es-419"/>
        </w:rPr>
        <w:t xml:space="preserve">, </w:t>
      </w:r>
      <w:r w:rsidR="00A60D24" w:rsidRPr="004D268A">
        <w:rPr>
          <w:rFonts w:asciiTheme="majorHAnsi" w:hAnsiTheme="majorHAnsi"/>
          <w:sz w:val="20"/>
          <w:szCs w:val="20"/>
          <w:lang w:val="es-419"/>
        </w:rPr>
        <w:t>sostiene que la CIDH no puede actuar como órgano de cuarta instancia.</w:t>
      </w:r>
    </w:p>
    <w:p w14:paraId="7FB2C954" w14:textId="7633590E" w:rsidR="00715819" w:rsidRPr="004D268A" w:rsidRDefault="003239B8" w:rsidP="00294E24">
      <w:pPr>
        <w:spacing w:before="240" w:after="240"/>
        <w:ind w:firstLine="720"/>
        <w:jc w:val="both"/>
        <w:rPr>
          <w:rFonts w:asciiTheme="majorHAnsi" w:eastAsia="Cambria" w:hAnsiTheme="majorHAnsi" w:cs="Cambria"/>
          <w:b/>
          <w:bCs/>
          <w:color w:val="000000"/>
          <w:sz w:val="20"/>
          <w:szCs w:val="20"/>
          <w:u w:color="000000"/>
          <w:lang w:val="es-ES" w:eastAsia="es-ES"/>
        </w:rPr>
      </w:pPr>
      <w:r w:rsidRPr="004D268A">
        <w:rPr>
          <w:rFonts w:asciiTheme="majorHAnsi" w:eastAsia="Cambria" w:hAnsiTheme="majorHAnsi" w:cs="Cambria"/>
          <w:b/>
          <w:bCs/>
          <w:color w:val="000000"/>
          <w:sz w:val="20"/>
          <w:szCs w:val="20"/>
          <w:u w:color="000000"/>
          <w:lang w:val="es-ES" w:eastAsia="es-ES"/>
        </w:rPr>
        <w:t>VI.</w:t>
      </w:r>
      <w:r w:rsidRPr="004D268A">
        <w:rPr>
          <w:rFonts w:asciiTheme="majorHAnsi" w:eastAsia="Cambria" w:hAnsiTheme="majorHAnsi" w:cs="Cambria"/>
          <w:b/>
          <w:bCs/>
          <w:color w:val="000000"/>
          <w:sz w:val="20"/>
          <w:szCs w:val="20"/>
          <w:u w:color="000000"/>
          <w:lang w:val="es-ES" w:eastAsia="es-ES"/>
        </w:rPr>
        <w:tab/>
      </w:r>
      <w:r w:rsidR="004A6A54" w:rsidRPr="004D268A">
        <w:rPr>
          <w:rFonts w:asciiTheme="majorHAnsi" w:hAnsiTheme="majorHAnsi"/>
          <w:b/>
          <w:bCs/>
          <w:sz w:val="20"/>
          <w:szCs w:val="20"/>
          <w:lang w:val="es-ES_tradnl"/>
        </w:rPr>
        <w:t xml:space="preserve">ANÁLISIS DE </w:t>
      </w:r>
      <w:r w:rsidR="00C21FEF" w:rsidRPr="004D268A">
        <w:rPr>
          <w:rFonts w:asciiTheme="majorHAnsi" w:hAnsiTheme="majorHAnsi"/>
          <w:b/>
          <w:sz w:val="20"/>
          <w:szCs w:val="20"/>
          <w:lang w:val="es-ES"/>
        </w:rPr>
        <w:t>AGOTAMIENTO DE LOS RECURSOS INTERNOS Y PLAZO DE PRESENTACIÓN</w:t>
      </w:r>
      <w:r w:rsidR="00C21FEF" w:rsidRPr="004D268A">
        <w:rPr>
          <w:rFonts w:asciiTheme="majorHAnsi" w:eastAsia="Cambria" w:hAnsiTheme="majorHAnsi" w:cs="Cambria"/>
          <w:b/>
          <w:bCs/>
          <w:color w:val="000000"/>
          <w:sz w:val="20"/>
          <w:szCs w:val="20"/>
          <w:u w:color="000000"/>
          <w:lang w:val="es-ES" w:eastAsia="es-ES"/>
        </w:rPr>
        <w:t xml:space="preserve"> </w:t>
      </w:r>
    </w:p>
    <w:p w14:paraId="26758FFA" w14:textId="40BF34D7" w:rsidR="00715819" w:rsidRPr="004D268A" w:rsidRDefault="00294E24" w:rsidP="0071581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4D268A">
        <w:rPr>
          <w:rFonts w:asciiTheme="majorHAnsi" w:hAnsiTheme="majorHAnsi"/>
          <w:sz w:val="20"/>
          <w:szCs w:val="20"/>
          <w:lang w:val="es-419"/>
        </w:rPr>
        <w:t xml:space="preserve">La </w:t>
      </w:r>
      <w:r w:rsidR="006679C3">
        <w:rPr>
          <w:rFonts w:asciiTheme="majorHAnsi" w:hAnsiTheme="majorHAnsi"/>
          <w:sz w:val="20"/>
          <w:szCs w:val="20"/>
          <w:lang w:val="es-419"/>
        </w:rPr>
        <w:t>presunta víctima</w:t>
      </w:r>
      <w:r w:rsidRPr="004D268A">
        <w:rPr>
          <w:rFonts w:asciiTheme="majorHAnsi" w:hAnsiTheme="majorHAnsi"/>
          <w:sz w:val="20"/>
          <w:szCs w:val="20"/>
          <w:lang w:val="es-419"/>
        </w:rPr>
        <w:t xml:space="preserve"> afirma que presentó la petición ante la CIDH sin haber agotado los recursos internos, porque </w:t>
      </w:r>
      <w:r w:rsidR="006679C3">
        <w:rPr>
          <w:rFonts w:asciiTheme="majorHAnsi" w:hAnsiTheme="majorHAnsi"/>
          <w:sz w:val="20"/>
          <w:szCs w:val="20"/>
          <w:lang w:val="es-419"/>
        </w:rPr>
        <w:t>era</w:t>
      </w:r>
      <w:r w:rsidRPr="004D268A">
        <w:rPr>
          <w:rFonts w:asciiTheme="majorHAnsi" w:hAnsiTheme="majorHAnsi"/>
          <w:sz w:val="20"/>
          <w:szCs w:val="20"/>
          <w:lang w:val="es-419"/>
        </w:rPr>
        <w:t xml:space="preserve"> evidente la persecución del Estado en su contra </w:t>
      </w:r>
      <w:r w:rsidR="006679C3">
        <w:rPr>
          <w:rFonts w:asciiTheme="majorHAnsi" w:hAnsiTheme="majorHAnsi"/>
          <w:sz w:val="20"/>
          <w:szCs w:val="20"/>
          <w:lang w:val="es-419"/>
        </w:rPr>
        <w:t xml:space="preserve">y que fue </w:t>
      </w:r>
      <w:r w:rsidRPr="004D268A">
        <w:rPr>
          <w:rFonts w:asciiTheme="majorHAnsi" w:hAnsiTheme="majorHAnsi"/>
          <w:sz w:val="20"/>
          <w:szCs w:val="20"/>
          <w:lang w:val="es-419"/>
        </w:rPr>
        <w:t xml:space="preserve">impedido de </w:t>
      </w:r>
      <w:r w:rsidR="006679C3" w:rsidRPr="004D268A">
        <w:rPr>
          <w:rFonts w:asciiTheme="majorHAnsi" w:hAnsiTheme="majorHAnsi"/>
          <w:sz w:val="20"/>
          <w:szCs w:val="20"/>
          <w:lang w:val="es-419"/>
        </w:rPr>
        <w:t>utilizar</w:t>
      </w:r>
      <w:r w:rsidRPr="004D268A">
        <w:rPr>
          <w:rFonts w:asciiTheme="majorHAnsi" w:hAnsiTheme="majorHAnsi"/>
          <w:sz w:val="20"/>
          <w:szCs w:val="20"/>
          <w:lang w:val="es-419"/>
        </w:rPr>
        <w:t xml:space="preserve"> los recursos disponibles</w:t>
      </w:r>
      <w:r w:rsidR="006679C3">
        <w:rPr>
          <w:rFonts w:asciiTheme="majorHAnsi" w:hAnsiTheme="majorHAnsi"/>
          <w:sz w:val="20"/>
          <w:szCs w:val="20"/>
          <w:lang w:val="es-419"/>
        </w:rPr>
        <w:t>;</w:t>
      </w:r>
      <w:r w:rsidRPr="004D268A">
        <w:rPr>
          <w:rFonts w:asciiTheme="majorHAnsi" w:hAnsiTheme="majorHAnsi"/>
          <w:sz w:val="20"/>
          <w:szCs w:val="20"/>
          <w:lang w:val="es-419"/>
        </w:rPr>
        <w:t xml:space="preserve"> </w:t>
      </w:r>
      <w:r w:rsidR="006679C3">
        <w:rPr>
          <w:rFonts w:asciiTheme="majorHAnsi" w:hAnsiTheme="majorHAnsi"/>
          <w:sz w:val="20"/>
          <w:szCs w:val="20"/>
          <w:lang w:val="es-419"/>
        </w:rPr>
        <w:t>a</w:t>
      </w:r>
      <w:r w:rsidRPr="004D268A">
        <w:rPr>
          <w:rFonts w:asciiTheme="majorHAnsi" w:hAnsiTheme="majorHAnsi"/>
          <w:sz w:val="20"/>
          <w:szCs w:val="20"/>
          <w:lang w:val="es-419"/>
        </w:rPr>
        <w:t xml:space="preserve">demás, afirma que hubo un retardo injustificado en las decisiones judiciales. Por su parte, el Estado alega que no fueron agotados los recursos internos, pues la petición fue presentada a la CIDH tres meses después de haber iniciado el proceso penal, en el </w:t>
      </w:r>
      <w:r w:rsidR="006679C3">
        <w:rPr>
          <w:rFonts w:asciiTheme="majorHAnsi" w:hAnsiTheme="majorHAnsi"/>
          <w:sz w:val="20"/>
          <w:szCs w:val="20"/>
          <w:lang w:val="es-419"/>
        </w:rPr>
        <w:t>que</w:t>
      </w:r>
      <w:r w:rsidRPr="004D268A">
        <w:rPr>
          <w:rFonts w:asciiTheme="majorHAnsi" w:hAnsiTheme="majorHAnsi"/>
          <w:sz w:val="20"/>
          <w:szCs w:val="20"/>
          <w:lang w:val="es-419"/>
        </w:rPr>
        <w:t xml:space="preserve"> se garantizaron a la presunta víctima todas las garantías procesales</w:t>
      </w:r>
      <w:r w:rsidR="006679C3">
        <w:rPr>
          <w:rFonts w:asciiTheme="majorHAnsi" w:hAnsiTheme="majorHAnsi"/>
          <w:sz w:val="20"/>
          <w:szCs w:val="20"/>
          <w:lang w:val="es-419"/>
        </w:rPr>
        <w:t>,</w:t>
      </w:r>
      <w:r w:rsidRPr="004D268A">
        <w:rPr>
          <w:rFonts w:asciiTheme="majorHAnsi" w:hAnsiTheme="majorHAnsi"/>
          <w:sz w:val="20"/>
          <w:szCs w:val="20"/>
          <w:lang w:val="es-419"/>
        </w:rPr>
        <w:t xml:space="preserve"> y </w:t>
      </w:r>
      <w:r w:rsidR="006679C3">
        <w:rPr>
          <w:rFonts w:asciiTheme="majorHAnsi" w:hAnsiTheme="majorHAnsi"/>
          <w:sz w:val="20"/>
          <w:szCs w:val="20"/>
          <w:lang w:val="es-419"/>
        </w:rPr>
        <w:t xml:space="preserve">que </w:t>
      </w:r>
      <w:r w:rsidRPr="004D268A">
        <w:rPr>
          <w:rFonts w:asciiTheme="majorHAnsi" w:hAnsiTheme="majorHAnsi"/>
          <w:sz w:val="20"/>
          <w:szCs w:val="20"/>
          <w:lang w:val="es-419"/>
        </w:rPr>
        <w:t xml:space="preserve">se </w:t>
      </w:r>
      <w:r w:rsidR="006679C3">
        <w:rPr>
          <w:rFonts w:asciiTheme="majorHAnsi" w:hAnsiTheme="majorHAnsi"/>
          <w:sz w:val="20"/>
          <w:szCs w:val="20"/>
          <w:lang w:val="es-419"/>
        </w:rPr>
        <w:t xml:space="preserve">le </w:t>
      </w:r>
      <w:r w:rsidRPr="004D268A">
        <w:rPr>
          <w:rFonts w:asciiTheme="majorHAnsi" w:hAnsiTheme="majorHAnsi"/>
          <w:sz w:val="20"/>
          <w:szCs w:val="20"/>
          <w:lang w:val="es-419"/>
        </w:rPr>
        <w:t xml:space="preserve">permitió la presentación de los recursos disponibles. Además, afirma que el atraso procesal alegado por </w:t>
      </w:r>
      <w:r w:rsidR="006679C3">
        <w:rPr>
          <w:rFonts w:asciiTheme="majorHAnsi" w:hAnsiTheme="majorHAnsi"/>
          <w:sz w:val="20"/>
          <w:szCs w:val="20"/>
          <w:lang w:val="es-419"/>
        </w:rPr>
        <w:t>la presunta víctima</w:t>
      </w:r>
      <w:r w:rsidRPr="004D268A">
        <w:rPr>
          <w:rFonts w:asciiTheme="majorHAnsi" w:hAnsiTheme="majorHAnsi"/>
          <w:sz w:val="20"/>
          <w:szCs w:val="20"/>
          <w:lang w:val="es-419"/>
        </w:rPr>
        <w:t xml:space="preserve"> se debe a </w:t>
      </w:r>
      <w:r w:rsidR="006679C3">
        <w:rPr>
          <w:rFonts w:asciiTheme="majorHAnsi" w:hAnsiTheme="majorHAnsi"/>
          <w:sz w:val="20"/>
          <w:szCs w:val="20"/>
          <w:lang w:val="es-419"/>
        </w:rPr>
        <w:t>su propia</w:t>
      </w:r>
      <w:r w:rsidRPr="004D268A">
        <w:rPr>
          <w:rFonts w:asciiTheme="majorHAnsi" w:hAnsiTheme="majorHAnsi"/>
          <w:sz w:val="20"/>
          <w:szCs w:val="20"/>
          <w:lang w:val="es-419"/>
        </w:rPr>
        <w:t xml:space="preserve"> acción </w:t>
      </w:r>
      <w:r w:rsidR="006679C3">
        <w:rPr>
          <w:rFonts w:asciiTheme="majorHAnsi" w:hAnsiTheme="majorHAnsi"/>
          <w:sz w:val="20"/>
          <w:szCs w:val="20"/>
          <w:lang w:val="es-419"/>
        </w:rPr>
        <w:t xml:space="preserve">de </w:t>
      </w:r>
      <w:r w:rsidRPr="004D268A">
        <w:rPr>
          <w:rFonts w:asciiTheme="majorHAnsi" w:hAnsiTheme="majorHAnsi"/>
          <w:sz w:val="20"/>
          <w:szCs w:val="20"/>
          <w:lang w:val="es-419"/>
        </w:rPr>
        <w:t>presenta</w:t>
      </w:r>
      <w:r w:rsidR="006679C3">
        <w:rPr>
          <w:rFonts w:asciiTheme="majorHAnsi" w:hAnsiTheme="majorHAnsi"/>
          <w:sz w:val="20"/>
          <w:szCs w:val="20"/>
          <w:lang w:val="es-419"/>
        </w:rPr>
        <w:t>r</w:t>
      </w:r>
      <w:r w:rsidRPr="004D268A">
        <w:rPr>
          <w:rFonts w:asciiTheme="majorHAnsi" w:hAnsiTheme="majorHAnsi"/>
          <w:sz w:val="20"/>
          <w:szCs w:val="20"/>
          <w:lang w:val="es-419"/>
        </w:rPr>
        <w:t xml:space="preserve"> una serie de recursos que </w:t>
      </w:r>
      <w:r w:rsidR="006679C3">
        <w:rPr>
          <w:rFonts w:asciiTheme="majorHAnsi" w:hAnsiTheme="majorHAnsi"/>
          <w:sz w:val="20"/>
          <w:szCs w:val="20"/>
          <w:lang w:val="es-419"/>
        </w:rPr>
        <w:t>demoraron</w:t>
      </w:r>
      <w:r w:rsidRPr="004D268A">
        <w:rPr>
          <w:rFonts w:asciiTheme="majorHAnsi" w:hAnsiTheme="majorHAnsi"/>
          <w:sz w:val="20"/>
          <w:szCs w:val="20"/>
          <w:lang w:val="es-419"/>
        </w:rPr>
        <w:t xml:space="preserve"> la evaluación del caso. </w:t>
      </w:r>
    </w:p>
    <w:p w14:paraId="52F1281C" w14:textId="1647E5FC" w:rsidR="00273CFD" w:rsidRPr="004D268A" w:rsidRDefault="00041CF9" w:rsidP="00273CFD">
      <w:pPr>
        <w:pStyle w:val="ListParagraph"/>
        <w:numPr>
          <w:ilvl w:val="0"/>
          <w:numId w:val="59"/>
        </w:numPr>
        <w:contextualSpacing/>
        <w:jc w:val="both"/>
        <w:rPr>
          <w:rFonts w:cs="Calibri"/>
          <w:sz w:val="20"/>
          <w:szCs w:val="20"/>
          <w:lang w:val="es-ES_tradnl"/>
        </w:rPr>
      </w:pPr>
      <w:r w:rsidRPr="004D268A">
        <w:rPr>
          <w:rFonts w:cs="Calibri"/>
          <w:sz w:val="20"/>
          <w:szCs w:val="20"/>
          <w:lang w:val="es-ES_tradnl"/>
        </w:rPr>
        <w:t>E</w:t>
      </w:r>
      <w:r w:rsidRPr="004D268A">
        <w:rPr>
          <w:rFonts w:cs="Calibri"/>
          <w:sz w:val="20"/>
          <w:szCs w:val="20"/>
          <w:lang w:val="es-ES"/>
        </w:rPr>
        <w:t>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Pr="004D268A">
        <w:rPr>
          <w:rStyle w:val="FootnoteReference"/>
          <w:rFonts w:cs="Calibri"/>
          <w:sz w:val="20"/>
          <w:szCs w:val="20"/>
          <w:lang w:val="es-ES"/>
        </w:rPr>
        <w:footnoteReference w:id="6"/>
      </w:r>
      <w:r w:rsidRPr="004D268A">
        <w:rPr>
          <w:rFonts w:cs="Calibri"/>
          <w:sz w:val="20"/>
          <w:szCs w:val="20"/>
          <w:lang w:val="es-ES"/>
        </w:rPr>
        <w:t xml:space="preserve">. En el presente </w:t>
      </w:r>
      <w:r w:rsidR="0000298D">
        <w:rPr>
          <w:rFonts w:cs="Calibri"/>
          <w:sz w:val="20"/>
          <w:szCs w:val="20"/>
          <w:lang w:val="es-ES"/>
        </w:rPr>
        <w:t>asunto</w:t>
      </w:r>
      <w:r w:rsidRPr="004D268A">
        <w:rPr>
          <w:rFonts w:cs="Calibri"/>
          <w:sz w:val="20"/>
          <w:szCs w:val="20"/>
          <w:lang w:val="es-ES"/>
        </w:rPr>
        <w:t>, la CIDH nota que</w:t>
      </w:r>
      <w:r w:rsidR="00273CFD" w:rsidRPr="004D268A">
        <w:rPr>
          <w:rFonts w:cs="Calibri"/>
          <w:sz w:val="20"/>
          <w:szCs w:val="20"/>
          <w:lang w:val="es-ES"/>
        </w:rPr>
        <w:t xml:space="preserve"> </w:t>
      </w:r>
      <w:r w:rsidR="0000298D" w:rsidRPr="004D268A">
        <w:rPr>
          <w:rFonts w:cs="Calibri"/>
          <w:sz w:val="20"/>
          <w:szCs w:val="20"/>
          <w:lang w:val="es-ES"/>
        </w:rPr>
        <w:t>la presunta víctima fue denunciada en dos procesos penales: el primer</w:t>
      </w:r>
      <w:r w:rsidR="0000298D">
        <w:rPr>
          <w:rFonts w:cs="Calibri"/>
          <w:sz w:val="20"/>
          <w:szCs w:val="20"/>
          <w:lang w:val="es-ES"/>
        </w:rPr>
        <w:t>o, que</w:t>
      </w:r>
      <w:r w:rsidR="0000298D" w:rsidRPr="004D268A">
        <w:rPr>
          <w:rFonts w:cs="Calibri"/>
          <w:sz w:val="20"/>
          <w:szCs w:val="20"/>
          <w:lang w:val="es-ES"/>
        </w:rPr>
        <w:t xml:space="preserve"> se inició el 8 de mayo de 2008</w:t>
      </w:r>
      <w:r w:rsidR="0000298D">
        <w:rPr>
          <w:rFonts w:cs="Calibri"/>
          <w:sz w:val="20"/>
          <w:szCs w:val="20"/>
          <w:lang w:val="es-ES"/>
        </w:rPr>
        <w:t xml:space="preserve">, fue </w:t>
      </w:r>
      <w:r w:rsidR="0000298D" w:rsidRPr="004D268A">
        <w:rPr>
          <w:rFonts w:cs="Calibri"/>
          <w:sz w:val="20"/>
          <w:szCs w:val="20"/>
          <w:lang w:val="es-ES"/>
        </w:rPr>
        <w:t xml:space="preserve">por sustracción, desvío o supresión de correspondencia y hurto agraviado; </w:t>
      </w:r>
      <w:r w:rsidR="0000298D">
        <w:rPr>
          <w:rFonts w:cs="Calibri"/>
          <w:sz w:val="20"/>
          <w:szCs w:val="20"/>
          <w:lang w:val="es-ES"/>
        </w:rPr>
        <w:t xml:space="preserve">y </w:t>
      </w:r>
      <w:r w:rsidR="0000298D" w:rsidRPr="004D268A">
        <w:rPr>
          <w:rFonts w:cs="Calibri"/>
          <w:sz w:val="20"/>
          <w:szCs w:val="20"/>
          <w:lang w:val="es-ES"/>
        </w:rPr>
        <w:t>el segundo</w:t>
      </w:r>
      <w:r w:rsidR="0000298D">
        <w:rPr>
          <w:rFonts w:cs="Calibri"/>
          <w:sz w:val="20"/>
          <w:szCs w:val="20"/>
          <w:lang w:val="es-ES"/>
        </w:rPr>
        <w:t>, que</w:t>
      </w:r>
      <w:r w:rsidR="0000298D" w:rsidRPr="004D268A">
        <w:rPr>
          <w:rFonts w:cs="Calibri"/>
          <w:sz w:val="20"/>
          <w:szCs w:val="20"/>
          <w:lang w:val="es-ES"/>
        </w:rPr>
        <w:t xml:space="preserve"> se inició </w:t>
      </w:r>
      <w:r w:rsidR="0000298D">
        <w:rPr>
          <w:rFonts w:cs="Calibri"/>
          <w:sz w:val="20"/>
          <w:szCs w:val="20"/>
          <w:lang w:val="es-ES"/>
        </w:rPr>
        <w:t xml:space="preserve">el </w:t>
      </w:r>
      <w:r w:rsidR="0000298D" w:rsidRPr="004D268A">
        <w:rPr>
          <w:rFonts w:cs="Calibri"/>
          <w:sz w:val="20"/>
          <w:szCs w:val="20"/>
          <w:lang w:val="es-ES"/>
        </w:rPr>
        <w:t>28 de mayo de 2008</w:t>
      </w:r>
      <w:r w:rsidR="0000298D">
        <w:rPr>
          <w:rFonts w:cs="Calibri"/>
          <w:sz w:val="20"/>
          <w:szCs w:val="20"/>
          <w:lang w:val="es-ES"/>
        </w:rPr>
        <w:t>, fue por</w:t>
      </w:r>
      <w:r w:rsidR="0000298D" w:rsidRPr="004D268A">
        <w:rPr>
          <w:rFonts w:cs="Calibri"/>
          <w:sz w:val="20"/>
          <w:szCs w:val="20"/>
          <w:lang w:val="es-ES"/>
        </w:rPr>
        <w:t xml:space="preserve"> revelación de secreto profesional</w:t>
      </w:r>
      <w:r w:rsidR="0000298D">
        <w:rPr>
          <w:rFonts w:cs="Calibri"/>
          <w:sz w:val="20"/>
          <w:szCs w:val="20"/>
          <w:lang w:val="es-ES"/>
        </w:rPr>
        <w:t>.</w:t>
      </w:r>
      <w:r w:rsidR="0000298D" w:rsidRPr="004D268A">
        <w:rPr>
          <w:rFonts w:cs="Calibri"/>
          <w:sz w:val="20"/>
          <w:szCs w:val="20"/>
          <w:lang w:val="es-ES"/>
        </w:rPr>
        <w:t xml:space="preserve"> </w:t>
      </w:r>
      <w:r w:rsidR="0000298D">
        <w:rPr>
          <w:rFonts w:cs="Calibri"/>
          <w:sz w:val="20"/>
          <w:szCs w:val="20"/>
          <w:lang w:val="es-ES"/>
        </w:rPr>
        <w:t>petición</w:t>
      </w:r>
      <w:r w:rsidR="00273CFD" w:rsidRPr="004D268A">
        <w:rPr>
          <w:rFonts w:cs="Calibri"/>
          <w:sz w:val="20"/>
          <w:szCs w:val="20"/>
          <w:lang w:val="es-ES"/>
        </w:rPr>
        <w:t>.</w:t>
      </w:r>
      <w:r w:rsidRPr="004D268A">
        <w:rPr>
          <w:rFonts w:cs="Calibri"/>
          <w:sz w:val="20"/>
          <w:szCs w:val="20"/>
          <w:lang w:val="es-ES"/>
        </w:rPr>
        <w:t xml:space="preserve"> </w:t>
      </w:r>
      <w:r w:rsidR="0000298D">
        <w:rPr>
          <w:rFonts w:cs="Calibri"/>
          <w:sz w:val="20"/>
          <w:szCs w:val="20"/>
          <w:lang w:val="es-ES"/>
        </w:rPr>
        <w:t>L</w:t>
      </w:r>
      <w:r w:rsidR="0000298D" w:rsidRPr="004D268A">
        <w:rPr>
          <w:rFonts w:cs="Calibri"/>
          <w:sz w:val="20"/>
          <w:szCs w:val="20"/>
          <w:lang w:val="es-ES"/>
        </w:rPr>
        <w:t xml:space="preserve">a presunta víctima presentó </w:t>
      </w:r>
      <w:r w:rsidR="0000298D">
        <w:rPr>
          <w:rFonts w:cs="Calibri"/>
          <w:sz w:val="20"/>
          <w:szCs w:val="20"/>
          <w:lang w:val="es-ES"/>
        </w:rPr>
        <w:t>su petición a la CIDH</w:t>
      </w:r>
      <w:r w:rsidR="0000298D" w:rsidRPr="004D268A">
        <w:rPr>
          <w:rFonts w:cs="Calibri"/>
          <w:sz w:val="20"/>
          <w:szCs w:val="20"/>
          <w:lang w:val="es-ES"/>
        </w:rPr>
        <w:t xml:space="preserve"> el 6 de noviembre de 2008</w:t>
      </w:r>
      <w:r w:rsidR="0000298D">
        <w:rPr>
          <w:rFonts w:cs="Calibri"/>
          <w:sz w:val="20"/>
          <w:szCs w:val="20"/>
          <w:lang w:val="es-ES"/>
        </w:rPr>
        <w:t>,</w:t>
      </w:r>
      <w:r w:rsidR="0000298D" w:rsidRPr="004D268A">
        <w:rPr>
          <w:rFonts w:cs="Calibri"/>
          <w:sz w:val="20"/>
          <w:szCs w:val="20"/>
          <w:lang w:val="es-ES"/>
        </w:rPr>
        <w:t xml:space="preserve"> </w:t>
      </w:r>
      <w:r w:rsidR="00273CFD" w:rsidRPr="004D268A">
        <w:rPr>
          <w:rFonts w:cs="Calibri"/>
          <w:sz w:val="20"/>
          <w:szCs w:val="20"/>
          <w:lang w:val="es-ES"/>
        </w:rPr>
        <w:t>apenas seis meses después de iniciar</w:t>
      </w:r>
      <w:r w:rsidR="0000298D">
        <w:rPr>
          <w:rFonts w:cs="Calibri"/>
          <w:sz w:val="20"/>
          <w:szCs w:val="20"/>
          <w:lang w:val="es-ES"/>
        </w:rPr>
        <w:t>se</w:t>
      </w:r>
      <w:r w:rsidR="00273CFD" w:rsidRPr="004D268A">
        <w:rPr>
          <w:rFonts w:cs="Calibri"/>
          <w:sz w:val="20"/>
          <w:szCs w:val="20"/>
          <w:lang w:val="es-ES"/>
        </w:rPr>
        <w:t xml:space="preserve"> los recursos internos</w:t>
      </w:r>
      <w:r w:rsidR="0000298D">
        <w:rPr>
          <w:rFonts w:cs="Calibri"/>
          <w:sz w:val="20"/>
          <w:szCs w:val="20"/>
          <w:lang w:val="es-ES"/>
        </w:rPr>
        <w:t>,</w:t>
      </w:r>
      <w:r w:rsidR="00273CFD" w:rsidRPr="004D268A">
        <w:rPr>
          <w:rFonts w:cs="Calibri"/>
          <w:sz w:val="20"/>
          <w:szCs w:val="20"/>
          <w:lang w:val="es-ES"/>
        </w:rPr>
        <w:t xml:space="preserve"> </w:t>
      </w:r>
      <w:r w:rsidR="0000298D">
        <w:rPr>
          <w:rFonts w:cs="Calibri"/>
          <w:sz w:val="20"/>
          <w:szCs w:val="20"/>
          <w:lang w:val="es-ES"/>
        </w:rPr>
        <w:t>antes</w:t>
      </w:r>
      <w:r w:rsidR="00273CFD" w:rsidRPr="004D268A">
        <w:rPr>
          <w:rFonts w:cs="Calibri"/>
          <w:sz w:val="20"/>
          <w:szCs w:val="20"/>
          <w:lang w:val="es-ES"/>
        </w:rPr>
        <w:t xml:space="preserve"> que </w:t>
      </w:r>
      <w:r w:rsidR="0000298D">
        <w:rPr>
          <w:rFonts w:cs="Calibri"/>
          <w:sz w:val="20"/>
          <w:szCs w:val="20"/>
          <w:lang w:val="es-ES"/>
        </w:rPr>
        <w:t>los tribunales</w:t>
      </w:r>
      <w:r w:rsidR="00273CFD" w:rsidRPr="004D268A">
        <w:rPr>
          <w:rFonts w:cs="Calibri"/>
          <w:sz w:val="20"/>
          <w:szCs w:val="20"/>
          <w:lang w:val="es-ES"/>
        </w:rPr>
        <w:t xml:space="preserve"> hubiesen emitido resolución </w:t>
      </w:r>
      <w:r w:rsidR="0000298D">
        <w:rPr>
          <w:rFonts w:cs="Calibri"/>
          <w:sz w:val="20"/>
          <w:szCs w:val="20"/>
          <w:lang w:val="es-ES"/>
        </w:rPr>
        <w:t xml:space="preserve">alguna </w:t>
      </w:r>
      <w:r w:rsidR="00273CFD" w:rsidRPr="004D268A">
        <w:rPr>
          <w:rFonts w:cs="Calibri"/>
          <w:sz w:val="20"/>
          <w:szCs w:val="20"/>
          <w:lang w:val="es-ES"/>
        </w:rPr>
        <w:t xml:space="preserve">sobre el caso. Debido a lo anterior, cumple a la CIDH evaluar la posibilidad de aplicación de las excepciones </w:t>
      </w:r>
      <w:r w:rsidR="0000298D">
        <w:rPr>
          <w:rFonts w:cs="Calibri"/>
          <w:sz w:val="20"/>
          <w:szCs w:val="20"/>
          <w:lang w:val="es-ES"/>
        </w:rPr>
        <w:t>al</w:t>
      </w:r>
      <w:r w:rsidR="00273CFD" w:rsidRPr="004D268A">
        <w:rPr>
          <w:rFonts w:cs="Calibri"/>
          <w:sz w:val="20"/>
          <w:szCs w:val="20"/>
          <w:lang w:val="es-ES"/>
        </w:rPr>
        <w:t xml:space="preserve"> agotamiento a los recursos internos establecidas en el artículo 46.2 de la Convención Americana.</w:t>
      </w:r>
    </w:p>
    <w:p w14:paraId="502EB3F4" w14:textId="77777777" w:rsidR="00273CFD" w:rsidRPr="004D268A" w:rsidRDefault="00273CFD" w:rsidP="00273CFD">
      <w:pPr>
        <w:pStyle w:val="ListParagraph"/>
        <w:contextualSpacing/>
        <w:jc w:val="both"/>
        <w:rPr>
          <w:rFonts w:cs="Calibri"/>
          <w:sz w:val="20"/>
          <w:szCs w:val="20"/>
          <w:lang w:val="es-ES_tradnl"/>
        </w:rPr>
      </w:pPr>
    </w:p>
    <w:p w14:paraId="1609D76A" w14:textId="00BF66E4" w:rsidR="00024221" w:rsidRPr="004D268A" w:rsidRDefault="0000298D" w:rsidP="00024221">
      <w:pPr>
        <w:pStyle w:val="ListParagraph"/>
        <w:numPr>
          <w:ilvl w:val="0"/>
          <w:numId w:val="59"/>
        </w:numPr>
        <w:contextualSpacing/>
        <w:jc w:val="both"/>
        <w:rPr>
          <w:rFonts w:cs="Calibri"/>
          <w:sz w:val="20"/>
          <w:szCs w:val="20"/>
          <w:lang w:val="es-ES_tradnl"/>
        </w:rPr>
      </w:pPr>
      <w:r>
        <w:rPr>
          <w:rFonts w:cs="Calibri"/>
          <w:sz w:val="20"/>
          <w:szCs w:val="20"/>
          <w:lang w:val="es-ES_tradnl"/>
        </w:rPr>
        <w:lastRenderedPageBreak/>
        <w:t xml:space="preserve">La presunta víctima afirma que no agotó </w:t>
      </w:r>
      <w:r w:rsidR="00273CFD" w:rsidRPr="004D268A">
        <w:rPr>
          <w:rFonts w:cs="Calibri"/>
          <w:sz w:val="20"/>
          <w:szCs w:val="20"/>
          <w:lang w:val="es-ES_tradnl"/>
        </w:rPr>
        <w:t xml:space="preserve">los recursos </w:t>
      </w:r>
      <w:r>
        <w:rPr>
          <w:rFonts w:cs="Calibri"/>
          <w:sz w:val="20"/>
          <w:szCs w:val="20"/>
          <w:lang w:val="es-ES_tradnl"/>
        </w:rPr>
        <w:t xml:space="preserve">debido a que </w:t>
      </w:r>
      <w:r w:rsidR="00273CFD" w:rsidRPr="004D268A">
        <w:rPr>
          <w:rFonts w:cs="Calibri"/>
          <w:sz w:val="20"/>
          <w:szCs w:val="20"/>
          <w:lang w:val="es-ES_tradnl"/>
        </w:rPr>
        <w:t xml:space="preserve">el Estado </w:t>
      </w:r>
      <w:r>
        <w:rPr>
          <w:rFonts w:cs="Calibri"/>
          <w:sz w:val="20"/>
          <w:szCs w:val="20"/>
          <w:lang w:val="es-ES_tradnl"/>
        </w:rPr>
        <w:t>se lo</w:t>
      </w:r>
      <w:r w:rsidR="00273CFD" w:rsidRPr="004D268A">
        <w:rPr>
          <w:rFonts w:cs="Calibri"/>
          <w:sz w:val="20"/>
          <w:szCs w:val="20"/>
          <w:lang w:val="es-ES_tradnl"/>
        </w:rPr>
        <w:t xml:space="preserve"> impidió</w:t>
      </w:r>
      <w:r>
        <w:rPr>
          <w:rFonts w:cs="Calibri"/>
          <w:sz w:val="20"/>
          <w:szCs w:val="20"/>
          <w:lang w:val="es-ES_tradnl"/>
        </w:rPr>
        <w:t>,</w:t>
      </w:r>
      <w:r w:rsidR="00273CFD" w:rsidRPr="004D268A">
        <w:rPr>
          <w:rFonts w:cs="Calibri"/>
          <w:sz w:val="20"/>
          <w:szCs w:val="20"/>
          <w:lang w:val="es-ES_tradnl"/>
        </w:rPr>
        <w:t xml:space="preserve"> y </w:t>
      </w:r>
      <w:r>
        <w:rPr>
          <w:rFonts w:cs="Calibri"/>
          <w:sz w:val="20"/>
          <w:szCs w:val="20"/>
          <w:lang w:val="es-ES_tradnl"/>
        </w:rPr>
        <w:t>que era objeto de persecución por parte de éste. Con</w:t>
      </w:r>
      <w:r w:rsidR="00273CFD" w:rsidRPr="004D268A">
        <w:rPr>
          <w:rFonts w:cs="Calibri"/>
          <w:sz w:val="20"/>
          <w:szCs w:val="20"/>
          <w:lang w:val="es-ES_tradnl"/>
        </w:rPr>
        <w:t xml:space="preserve"> respe</w:t>
      </w:r>
      <w:r>
        <w:rPr>
          <w:rFonts w:cs="Calibri"/>
          <w:sz w:val="20"/>
          <w:szCs w:val="20"/>
          <w:lang w:val="es-ES_tradnl"/>
        </w:rPr>
        <w:t>c</w:t>
      </w:r>
      <w:r w:rsidR="00273CFD" w:rsidRPr="004D268A">
        <w:rPr>
          <w:rFonts w:cs="Calibri"/>
          <w:sz w:val="20"/>
          <w:szCs w:val="20"/>
          <w:lang w:val="es-ES_tradnl"/>
        </w:rPr>
        <w:t xml:space="preserve">to a la primera causa que tramitó ante la Sala Regional Mixta de la Corte de Apelaciones de la Antigua Guatemala, la CIDH </w:t>
      </w:r>
      <w:r>
        <w:rPr>
          <w:rFonts w:cs="Calibri"/>
          <w:sz w:val="20"/>
          <w:szCs w:val="20"/>
          <w:lang w:val="es-ES_tradnl"/>
        </w:rPr>
        <w:t xml:space="preserve">observa que la presunta víctima </w:t>
      </w:r>
      <w:r w:rsidR="00273CFD" w:rsidRPr="004D268A">
        <w:rPr>
          <w:rFonts w:cs="Calibri"/>
          <w:sz w:val="20"/>
          <w:szCs w:val="20"/>
          <w:lang w:val="es-ES_tradnl"/>
        </w:rPr>
        <w:t xml:space="preserve">presentó una serie de recursos, </w:t>
      </w:r>
      <w:r>
        <w:rPr>
          <w:rFonts w:cs="Calibri"/>
          <w:sz w:val="20"/>
          <w:szCs w:val="20"/>
          <w:lang w:val="es-ES_tradnl"/>
        </w:rPr>
        <w:t xml:space="preserve">algunos de </w:t>
      </w:r>
      <w:r w:rsidR="00273CFD" w:rsidRPr="004D268A">
        <w:rPr>
          <w:rFonts w:cs="Calibri"/>
          <w:sz w:val="20"/>
          <w:szCs w:val="20"/>
          <w:lang w:val="es-ES_tradnl"/>
        </w:rPr>
        <w:t xml:space="preserve">los cuales permitieron, por ejemplo, que </w:t>
      </w:r>
      <w:r>
        <w:rPr>
          <w:rFonts w:cs="Calibri"/>
          <w:sz w:val="20"/>
          <w:szCs w:val="20"/>
          <w:lang w:val="es-ES_tradnl"/>
        </w:rPr>
        <w:t>ciertas</w:t>
      </w:r>
      <w:r w:rsidR="00273CFD" w:rsidRPr="004D268A">
        <w:rPr>
          <w:rFonts w:cs="Calibri"/>
          <w:sz w:val="20"/>
          <w:szCs w:val="20"/>
          <w:lang w:val="es-ES_tradnl"/>
        </w:rPr>
        <w:t xml:space="preserve"> acusaciones fuesen sobreseídas en su favor</w:t>
      </w:r>
      <w:r w:rsidR="00AD4AE2">
        <w:rPr>
          <w:rFonts w:cs="Calibri"/>
          <w:sz w:val="20"/>
          <w:szCs w:val="20"/>
          <w:lang w:val="es-ES_tradnl"/>
        </w:rPr>
        <w:t>;</w:t>
      </w:r>
      <w:r w:rsidR="00273CFD" w:rsidRPr="004D268A">
        <w:rPr>
          <w:rFonts w:cs="Calibri"/>
          <w:sz w:val="20"/>
          <w:szCs w:val="20"/>
          <w:lang w:val="es-ES_tradnl"/>
        </w:rPr>
        <w:t xml:space="preserve"> </w:t>
      </w:r>
      <w:r w:rsidR="00AD4AE2">
        <w:rPr>
          <w:rFonts w:cs="Calibri"/>
          <w:sz w:val="20"/>
          <w:szCs w:val="20"/>
          <w:lang w:val="es-ES_tradnl"/>
        </w:rPr>
        <w:t>lo</w:t>
      </w:r>
      <w:r w:rsidR="00273CFD" w:rsidRPr="004D268A">
        <w:rPr>
          <w:rFonts w:cs="Calibri"/>
          <w:sz w:val="20"/>
          <w:szCs w:val="20"/>
          <w:lang w:val="es-ES_tradnl"/>
        </w:rPr>
        <w:t xml:space="preserve"> mismo ocurrió en relación con la segunda causa que tramitó ante el Tribunal Duodécimo de Sentencia Penal. </w:t>
      </w:r>
      <w:r w:rsidR="00AD4AE2">
        <w:rPr>
          <w:rFonts w:cs="Calibri"/>
          <w:sz w:val="20"/>
          <w:szCs w:val="20"/>
          <w:lang w:val="es-ES_tradnl"/>
        </w:rPr>
        <w:t xml:space="preserve">La </w:t>
      </w:r>
      <w:r w:rsidR="00273CFD" w:rsidRPr="004D268A">
        <w:rPr>
          <w:rFonts w:cs="Calibri"/>
          <w:sz w:val="20"/>
          <w:szCs w:val="20"/>
          <w:lang w:val="es-ES_tradnl"/>
        </w:rPr>
        <w:t xml:space="preserve">CIDH </w:t>
      </w:r>
      <w:r w:rsidR="00024221" w:rsidRPr="004D268A">
        <w:rPr>
          <w:rFonts w:cs="Calibri"/>
          <w:sz w:val="20"/>
          <w:szCs w:val="20"/>
          <w:lang w:val="es-ES_tradnl"/>
        </w:rPr>
        <w:t xml:space="preserve">ha señalado que la excepción </w:t>
      </w:r>
      <w:r w:rsidR="00AD4AE2">
        <w:rPr>
          <w:rFonts w:cs="Calibri"/>
          <w:sz w:val="20"/>
          <w:szCs w:val="20"/>
          <w:lang w:val="es-ES_tradnl"/>
        </w:rPr>
        <w:t>del</w:t>
      </w:r>
      <w:r w:rsidR="00024221" w:rsidRPr="004D268A">
        <w:rPr>
          <w:rFonts w:cs="Calibri"/>
          <w:sz w:val="20"/>
          <w:szCs w:val="20"/>
          <w:lang w:val="es-ES_tradnl"/>
        </w:rPr>
        <w:t xml:space="preserve"> artículo 46.2.a de la Convención Americana</w:t>
      </w:r>
      <w:r w:rsidR="00024221" w:rsidRPr="004D268A">
        <w:rPr>
          <w:rStyle w:val="FootnoteReference"/>
          <w:rFonts w:cs="Calibri"/>
          <w:sz w:val="20"/>
          <w:szCs w:val="20"/>
          <w:lang w:val="es-ES"/>
        </w:rPr>
        <w:footnoteReference w:id="7"/>
      </w:r>
      <w:r w:rsidR="00024221" w:rsidRPr="004D268A">
        <w:rPr>
          <w:rFonts w:cs="Calibri"/>
          <w:sz w:val="20"/>
          <w:szCs w:val="20"/>
          <w:lang w:val="es-ES"/>
        </w:rPr>
        <w:t xml:space="preserve"> puede configurarse cuando el </w:t>
      </w:r>
      <w:r w:rsidR="00273CFD" w:rsidRPr="004D268A">
        <w:rPr>
          <w:rFonts w:cs="Calibri"/>
          <w:sz w:val="20"/>
          <w:szCs w:val="20"/>
          <w:lang w:val="es-ES"/>
        </w:rPr>
        <w:t>texto de una norma específica (</w:t>
      </w:r>
      <w:r w:rsidR="00273CFD" w:rsidRPr="004D268A">
        <w:rPr>
          <w:rFonts w:cs="Calibri"/>
          <w:i/>
          <w:sz w:val="20"/>
          <w:szCs w:val="20"/>
          <w:lang w:val="es-ES"/>
        </w:rPr>
        <w:t>lex specialis</w:t>
      </w:r>
      <w:r w:rsidR="00273CFD" w:rsidRPr="004D268A">
        <w:rPr>
          <w:rFonts w:cs="Calibri"/>
          <w:sz w:val="20"/>
          <w:szCs w:val="20"/>
          <w:lang w:val="es-ES"/>
        </w:rPr>
        <w:t>) dispone expresamente la improcedencia de recursos judiciales frente a una situación determinada en la que se alegue la violación de derechos humanos</w:t>
      </w:r>
      <w:r w:rsidR="00AD4AE2">
        <w:rPr>
          <w:rFonts w:cs="Calibri"/>
          <w:sz w:val="20"/>
          <w:szCs w:val="20"/>
          <w:lang w:val="es-ES"/>
        </w:rPr>
        <w:t>. En dicho supuesto</w:t>
      </w:r>
      <w:r w:rsidR="00273CFD" w:rsidRPr="004D268A">
        <w:rPr>
          <w:rFonts w:cs="Calibri"/>
          <w:sz w:val="20"/>
          <w:szCs w:val="20"/>
          <w:lang w:val="es-ES"/>
        </w:rPr>
        <w:t>, no es razonable exigir al peticionario que</w:t>
      </w:r>
      <w:r w:rsidR="00AD4AE2" w:rsidRPr="00AD4AE2">
        <w:rPr>
          <w:rFonts w:cs="Calibri"/>
          <w:sz w:val="20"/>
          <w:szCs w:val="20"/>
          <w:lang w:val="es-ES"/>
        </w:rPr>
        <w:t xml:space="preserve"> </w:t>
      </w:r>
      <w:r w:rsidR="00AD4AE2" w:rsidRPr="004D268A">
        <w:rPr>
          <w:rFonts w:cs="Calibri"/>
          <w:sz w:val="20"/>
          <w:szCs w:val="20"/>
          <w:lang w:val="es-ES"/>
        </w:rPr>
        <w:t>interponga algún recurso</w:t>
      </w:r>
      <w:r w:rsidR="00AD4AE2" w:rsidRPr="00AD4AE2">
        <w:rPr>
          <w:rFonts w:cs="Calibri"/>
          <w:sz w:val="20"/>
          <w:szCs w:val="20"/>
          <w:lang w:val="es-ES"/>
        </w:rPr>
        <w:t xml:space="preserve"> </w:t>
      </w:r>
      <w:r w:rsidR="00AD4AE2" w:rsidRPr="004D268A">
        <w:rPr>
          <w:rFonts w:cs="Calibri"/>
          <w:sz w:val="20"/>
          <w:szCs w:val="20"/>
          <w:lang w:val="es-ES"/>
        </w:rPr>
        <w:t>ordinario o extraordinario</w:t>
      </w:r>
      <w:r w:rsidR="00273CFD" w:rsidRPr="004D268A">
        <w:rPr>
          <w:rFonts w:cs="Calibri"/>
          <w:sz w:val="20"/>
          <w:szCs w:val="20"/>
          <w:lang w:val="es-ES"/>
        </w:rPr>
        <w:t xml:space="preserve"> </w:t>
      </w:r>
      <w:r w:rsidR="00AD4AE2">
        <w:rPr>
          <w:rFonts w:cs="Calibri"/>
          <w:sz w:val="20"/>
          <w:szCs w:val="20"/>
          <w:lang w:val="es-ES"/>
        </w:rPr>
        <w:t xml:space="preserve">en </w:t>
      </w:r>
      <w:r w:rsidR="00273CFD" w:rsidRPr="004D268A">
        <w:rPr>
          <w:rFonts w:cs="Calibri"/>
          <w:sz w:val="20"/>
          <w:szCs w:val="20"/>
          <w:lang w:val="es-ES"/>
        </w:rPr>
        <w:t xml:space="preserve">contra </w:t>
      </w:r>
      <w:r w:rsidR="00AD4AE2">
        <w:rPr>
          <w:rFonts w:cs="Calibri"/>
          <w:sz w:val="20"/>
          <w:szCs w:val="20"/>
          <w:lang w:val="es-ES"/>
        </w:rPr>
        <w:t>del</w:t>
      </w:r>
      <w:r w:rsidR="00273CFD" w:rsidRPr="004D268A">
        <w:rPr>
          <w:rFonts w:cs="Calibri"/>
          <w:sz w:val="20"/>
          <w:szCs w:val="20"/>
          <w:lang w:val="es-ES"/>
        </w:rPr>
        <w:t xml:space="preserve"> texto expreso de la </w:t>
      </w:r>
      <w:r w:rsidR="00AD4AE2">
        <w:rPr>
          <w:rFonts w:cs="Calibri"/>
          <w:sz w:val="20"/>
          <w:szCs w:val="20"/>
          <w:lang w:val="es-ES"/>
        </w:rPr>
        <w:t>ley</w:t>
      </w:r>
      <w:r w:rsidR="00273CFD" w:rsidRPr="004D268A">
        <w:rPr>
          <w:rFonts w:cs="Calibri"/>
          <w:sz w:val="20"/>
          <w:szCs w:val="20"/>
          <w:lang w:val="es-ES"/>
        </w:rPr>
        <w:t>.</w:t>
      </w:r>
      <w:r w:rsidR="00024221" w:rsidRPr="004D268A">
        <w:rPr>
          <w:rFonts w:cs="Calibri"/>
          <w:sz w:val="20"/>
          <w:szCs w:val="20"/>
          <w:lang w:val="es-ES"/>
        </w:rPr>
        <w:t xml:space="preserve"> De otra parte, la excepción del artículo 46.2.b de la Convención Americana es observada cuando existe negativa de las autoridades de recibir las denuncias de la presunta víctima,</w:t>
      </w:r>
      <w:r w:rsidR="00024221" w:rsidRPr="004D268A">
        <w:rPr>
          <w:rStyle w:val="FootnoteReference"/>
          <w:rFonts w:cs="Calibri"/>
          <w:sz w:val="20"/>
          <w:szCs w:val="20"/>
          <w:lang w:val="es-ES"/>
        </w:rPr>
        <w:footnoteReference w:id="8"/>
      </w:r>
      <w:r w:rsidR="00024221" w:rsidRPr="004D268A">
        <w:rPr>
          <w:rFonts w:cs="Calibri"/>
          <w:sz w:val="20"/>
          <w:szCs w:val="20"/>
          <w:lang w:val="es-ES"/>
        </w:rPr>
        <w:t xml:space="preserve"> cuando la presunta víctima está impedida de invocar recursos judiciales en su favor,</w:t>
      </w:r>
      <w:r w:rsidR="00024221" w:rsidRPr="004D268A">
        <w:rPr>
          <w:rStyle w:val="FootnoteReference"/>
          <w:rFonts w:cs="Calibri"/>
          <w:sz w:val="20"/>
          <w:szCs w:val="20"/>
          <w:lang w:val="es-ES"/>
        </w:rPr>
        <w:footnoteReference w:id="9"/>
      </w:r>
      <w:r w:rsidR="00024221" w:rsidRPr="004D268A">
        <w:rPr>
          <w:rFonts w:cs="Calibri"/>
          <w:sz w:val="20"/>
          <w:szCs w:val="20"/>
          <w:lang w:val="es-ES"/>
        </w:rPr>
        <w:t xml:space="preserve"> o </w:t>
      </w:r>
      <w:r w:rsidR="00AD4AE2" w:rsidRPr="004D268A">
        <w:rPr>
          <w:rFonts w:cs="Calibri"/>
          <w:sz w:val="20"/>
          <w:szCs w:val="20"/>
          <w:lang w:val="es-ES"/>
        </w:rPr>
        <w:t>aun</w:t>
      </w:r>
      <w:r w:rsidR="00024221" w:rsidRPr="004D268A">
        <w:rPr>
          <w:rFonts w:cs="Calibri"/>
          <w:sz w:val="20"/>
          <w:szCs w:val="20"/>
          <w:lang w:val="es-ES"/>
        </w:rPr>
        <w:t xml:space="preserve"> </w:t>
      </w:r>
      <w:r w:rsidR="00AD4AE2">
        <w:rPr>
          <w:rFonts w:cs="Calibri"/>
          <w:sz w:val="20"/>
          <w:szCs w:val="20"/>
          <w:lang w:val="es-ES"/>
        </w:rPr>
        <w:t>en caso de</w:t>
      </w:r>
      <w:r w:rsidR="00024221" w:rsidRPr="004D268A">
        <w:rPr>
          <w:rFonts w:cs="Calibri"/>
          <w:sz w:val="20"/>
          <w:szCs w:val="20"/>
          <w:lang w:val="es-ES"/>
        </w:rPr>
        <w:t xml:space="preserve"> imposibilidad económica de presentar un recurso.</w:t>
      </w:r>
      <w:r w:rsidR="00024221" w:rsidRPr="004D268A">
        <w:rPr>
          <w:rStyle w:val="FootnoteReference"/>
          <w:rFonts w:cs="Calibri"/>
          <w:sz w:val="20"/>
          <w:szCs w:val="20"/>
          <w:lang w:val="es-ES"/>
        </w:rPr>
        <w:footnoteReference w:id="10"/>
      </w:r>
      <w:r w:rsidR="00024221" w:rsidRPr="004D268A">
        <w:rPr>
          <w:rFonts w:cs="Calibri"/>
          <w:sz w:val="20"/>
          <w:szCs w:val="20"/>
          <w:lang w:val="es-ES"/>
        </w:rPr>
        <w:t xml:space="preserve"> </w:t>
      </w:r>
      <w:r w:rsidR="00AD4AE2">
        <w:rPr>
          <w:rFonts w:cs="Calibri"/>
          <w:sz w:val="20"/>
          <w:szCs w:val="20"/>
          <w:lang w:val="es-ES"/>
        </w:rPr>
        <w:t xml:space="preserve">Ninguna de las </w:t>
      </w:r>
      <w:r w:rsidR="00024221" w:rsidRPr="004D268A">
        <w:rPr>
          <w:rFonts w:cs="Calibri"/>
          <w:sz w:val="20"/>
          <w:szCs w:val="20"/>
          <w:lang w:val="es-ES"/>
        </w:rPr>
        <w:t xml:space="preserve">situaciones no </w:t>
      </w:r>
      <w:r w:rsidR="00AD4AE2">
        <w:rPr>
          <w:rFonts w:cs="Calibri"/>
          <w:sz w:val="20"/>
          <w:szCs w:val="20"/>
          <w:lang w:val="es-ES"/>
        </w:rPr>
        <w:t xml:space="preserve">mencionadas se actualizan </w:t>
      </w:r>
      <w:r w:rsidR="00024221" w:rsidRPr="004D268A">
        <w:rPr>
          <w:rFonts w:cs="Calibri"/>
          <w:sz w:val="20"/>
          <w:szCs w:val="20"/>
          <w:lang w:val="es-ES"/>
        </w:rPr>
        <w:t xml:space="preserve">en el presente caso. </w:t>
      </w:r>
      <w:r w:rsidR="00AD4AE2">
        <w:rPr>
          <w:rFonts w:cs="Calibri"/>
          <w:sz w:val="20"/>
          <w:szCs w:val="20"/>
          <w:lang w:val="es-ES"/>
        </w:rPr>
        <w:t xml:space="preserve">La presunta víctima </w:t>
      </w:r>
      <w:r w:rsidR="00024221" w:rsidRPr="004D268A">
        <w:rPr>
          <w:rFonts w:cs="Calibri"/>
          <w:sz w:val="20"/>
          <w:szCs w:val="20"/>
          <w:lang w:val="es-ES"/>
        </w:rPr>
        <w:t xml:space="preserve">afirma que había una persecución en su contra que le impedía de agotar los recursos, </w:t>
      </w:r>
      <w:r w:rsidR="00AD4AE2">
        <w:rPr>
          <w:rFonts w:cs="Calibri"/>
          <w:sz w:val="20"/>
          <w:szCs w:val="20"/>
          <w:lang w:val="es-ES"/>
        </w:rPr>
        <w:t xml:space="preserve">pero no ha </w:t>
      </w:r>
      <w:r w:rsidR="00024221" w:rsidRPr="004D268A">
        <w:rPr>
          <w:rFonts w:cs="Calibri"/>
          <w:sz w:val="20"/>
          <w:szCs w:val="20"/>
          <w:lang w:val="es-ES"/>
        </w:rPr>
        <w:t xml:space="preserve">presentado elementos suficientes para </w:t>
      </w:r>
      <w:r w:rsidR="00AD4AE2">
        <w:rPr>
          <w:rFonts w:cs="Calibri"/>
          <w:sz w:val="20"/>
          <w:szCs w:val="20"/>
          <w:lang w:val="es-ES"/>
        </w:rPr>
        <w:t>sustentarlo; por el contrario,</w:t>
      </w:r>
      <w:r w:rsidR="00024221" w:rsidRPr="004D268A">
        <w:rPr>
          <w:rFonts w:cs="Calibri"/>
          <w:sz w:val="20"/>
          <w:szCs w:val="20"/>
          <w:lang w:val="es-ES"/>
        </w:rPr>
        <w:t xml:space="preserve"> </w:t>
      </w:r>
      <w:r w:rsidR="00AD4AE2">
        <w:rPr>
          <w:rFonts w:cs="Calibri"/>
          <w:sz w:val="20"/>
          <w:szCs w:val="20"/>
          <w:lang w:val="es-ES"/>
        </w:rPr>
        <w:t xml:space="preserve">la información disponible revela que </w:t>
      </w:r>
      <w:r w:rsidR="00024221" w:rsidRPr="004D268A">
        <w:rPr>
          <w:rFonts w:cs="Calibri"/>
          <w:sz w:val="20"/>
          <w:szCs w:val="20"/>
          <w:lang w:val="es-ES"/>
        </w:rPr>
        <w:t xml:space="preserve">presentó todos los recursos </w:t>
      </w:r>
      <w:r w:rsidR="0004544A" w:rsidRPr="004D268A">
        <w:rPr>
          <w:rFonts w:cs="Calibri"/>
          <w:sz w:val="20"/>
          <w:szCs w:val="20"/>
          <w:lang w:val="es-ES"/>
        </w:rPr>
        <w:t>judiciales disponibles</w:t>
      </w:r>
      <w:r w:rsidR="00024221" w:rsidRPr="004D268A">
        <w:rPr>
          <w:rFonts w:cs="Calibri"/>
          <w:sz w:val="20"/>
          <w:szCs w:val="20"/>
          <w:lang w:val="es-ES"/>
        </w:rPr>
        <w:t xml:space="preserve"> en el sistema jurídico de Guatemala</w:t>
      </w:r>
      <w:r w:rsidR="00AD4AE2">
        <w:rPr>
          <w:rFonts w:cs="Calibri"/>
          <w:sz w:val="20"/>
          <w:szCs w:val="20"/>
          <w:lang w:val="es-ES"/>
        </w:rPr>
        <w:t>.</w:t>
      </w:r>
      <w:r w:rsidR="00024221" w:rsidRPr="004D268A">
        <w:rPr>
          <w:rFonts w:cs="Calibri"/>
          <w:sz w:val="20"/>
          <w:szCs w:val="20"/>
          <w:lang w:val="es-ES"/>
        </w:rPr>
        <w:t xml:space="preserve">, </w:t>
      </w:r>
      <w:r w:rsidR="00AD4AE2">
        <w:rPr>
          <w:rFonts w:cs="Calibri"/>
          <w:sz w:val="20"/>
          <w:szCs w:val="20"/>
          <w:lang w:val="es-ES"/>
        </w:rPr>
        <w:t>Con base en lo anterior,</w:t>
      </w:r>
      <w:r w:rsidR="00024221" w:rsidRPr="004D268A">
        <w:rPr>
          <w:rFonts w:cs="Calibri"/>
          <w:sz w:val="20"/>
          <w:szCs w:val="20"/>
          <w:lang w:val="es-ES"/>
        </w:rPr>
        <w:t xml:space="preserve"> la Comisión </w:t>
      </w:r>
      <w:r w:rsidR="00AD4AE2">
        <w:rPr>
          <w:rFonts w:cs="Calibri"/>
          <w:sz w:val="20"/>
          <w:szCs w:val="20"/>
          <w:lang w:val="es-ES"/>
        </w:rPr>
        <w:t>concluye</w:t>
      </w:r>
      <w:r w:rsidR="00024221" w:rsidRPr="004D268A">
        <w:rPr>
          <w:rFonts w:cs="Calibri"/>
          <w:sz w:val="20"/>
          <w:szCs w:val="20"/>
          <w:lang w:val="es-ES"/>
        </w:rPr>
        <w:t xml:space="preserve"> que no la</w:t>
      </w:r>
      <w:r w:rsidR="00E71465">
        <w:rPr>
          <w:rFonts w:cs="Calibri"/>
          <w:sz w:val="20"/>
          <w:szCs w:val="20"/>
          <w:lang w:val="es-ES"/>
        </w:rPr>
        <w:t>s</w:t>
      </w:r>
      <w:r w:rsidR="00024221" w:rsidRPr="004D268A">
        <w:rPr>
          <w:rFonts w:cs="Calibri"/>
          <w:sz w:val="20"/>
          <w:szCs w:val="20"/>
          <w:lang w:val="es-ES"/>
        </w:rPr>
        <w:t xml:space="preserve"> excepci</w:t>
      </w:r>
      <w:r w:rsidR="00E71465">
        <w:rPr>
          <w:rFonts w:cs="Calibri"/>
          <w:sz w:val="20"/>
          <w:szCs w:val="20"/>
          <w:lang w:val="es-ES"/>
        </w:rPr>
        <w:t xml:space="preserve">ones previstas en </w:t>
      </w:r>
      <w:r w:rsidR="00024221" w:rsidRPr="004D268A">
        <w:rPr>
          <w:rFonts w:cs="Calibri"/>
          <w:sz w:val="20"/>
          <w:szCs w:val="20"/>
          <w:lang w:val="es-ES"/>
        </w:rPr>
        <w:t>los artículos 46.2.a y 46.2.b de la Convención Americana</w:t>
      </w:r>
      <w:r w:rsidR="00AD4AE2">
        <w:rPr>
          <w:rFonts w:cs="Calibri"/>
          <w:sz w:val="20"/>
          <w:szCs w:val="20"/>
          <w:lang w:val="es-ES"/>
        </w:rPr>
        <w:t xml:space="preserve"> no resulta</w:t>
      </w:r>
      <w:r w:rsidR="00E71465">
        <w:rPr>
          <w:rFonts w:cs="Calibri"/>
          <w:sz w:val="20"/>
          <w:szCs w:val="20"/>
          <w:lang w:val="es-ES"/>
        </w:rPr>
        <w:t>n</w:t>
      </w:r>
      <w:r w:rsidR="00AD4AE2">
        <w:rPr>
          <w:rFonts w:cs="Calibri"/>
          <w:sz w:val="20"/>
          <w:szCs w:val="20"/>
          <w:lang w:val="es-ES"/>
        </w:rPr>
        <w:t xml:space="preserve"> aplicable</w:t>
      </w:r>
      <w:r w:rsidR="00E71465">
        <w:rPr>
          <w:rFonts w:cs="Calibri"/>
          <w:sz w:val="20"/>
          <w:szCs w:val="20"/>
          <w:lang w:val="es-ES"/>
        </w:rPr>
        <w:t>s</w:t>
      </w:r>
      <w:r w:rsidR="00AD4AE2">
        <w:rPr>
          <w:rFonts w:cs="Calibri"/>
          <w:sz w:val="20"/>
          <w:szCs w:val="20"/>
          <w:lang w:val="es-ES"/>
        </w:rPr>
        <w:t xml:space="preserve"> al presente asunto</w:t>
      </w:r>
      <w:r w:rsidR="00024221" w:rsidRPr="004D268A">
        <w:rPr>
          <w:rFonts w:cs="Calibri"/>
          <w:sz w:val="20"/>
          <w:szCs w:val="20"/>
          <w:lang w:val="es-ES"/>
        </w:rPr>
        <w:t>.</w:t>
      </w:r>
    </w:p>
    <w:p w14:paraId="667AB7E6" w14:textId="77777777" w:rsidR="00024221" w:rsidRPr="004D268A" w:rsidRDefault="00024221" w:rsidP="00024221">
      <w:pPr>
        <w:pStyle w:val="ListParagraph"/>
        <w:contextualSpacing/>
        <w:jc w:val="both"/>
        <w:rPr>
          <w:rFonts w:cs="Calibri"/>
          <w:sz w:val="20"/>
          <w:szCs w:val="20"/>
          <w:lang w:val="es-ES_tradnl"/>
        </w:rPr>
      </w:pPr>
    </w:p>
    <w:p w14:paraId="3796AAB7" w14:textId="3F562DD0" w:rsidR="00995464" w:rsidRPr="004D268A" w:rsidRDefault="00024221" w:rsidP="00876DB2">
      <w:pPr>
        <w:pStyle w:val="ListParagraph"/>
        <w:numPr>
          <w:ilvl w:val="0"/>
          <w:numId w:val="59"/>
        </w:numPr>
        <w:contextualSpacing/>
        <w:jc w:val="both"/>
        <w:rPr>
          <w:rFonts w:cs="Calibri"/>
          <w:sz w:val="20"/>
          <w:szCs w:val="20"/>
          <w:lang w:val="es-ES_tradnl"/>
        </w:rPr>
      </w:pPr>
      <w:r w:rsidRPr="004D268A">
        <w:rPr>
          <w:rFonts w:cs="Calibri"/>
          <w:sz w:val="20"/>
          <w:szCs w:val="20"/>
          <w:lang w:val="es-ES_tradnl"/>
        </w:rPr>
        <w:t>Respeto a</w:t>
      </w:r>
      <w:r w:rsidR="00E71465">
        <w:rPr>
          <w:rFonts w:cs="Calibri"/>
          <w:sz w:val="20"/>
          <w:szCs w:val="20"/>
          <w:lang w:val="es-ES_tradnl"/>
        </w:rPr>
        <w:t>l alegato</w:t>
      </w:r>
      <w:r w:rsidRPr="004D268A">
        <w:rPr>
          <w:rFonts w:cs="Calibri"/>
          <w:sz w:val="20"/>
          <w:szCs w:val="20"/>
          <w:lang w:val="es-ES_tradnl"/>
        </w:rPr>
        <w:t xml:space="preserve"> de retraso injustificado, el Esta</w:t>
      </w:r>
      <w:bookmarkStart w:id="1" w:name="_GoBack"/>
      <w:bookmarkEnd w:id="1"/>
      <w:r w:rsidRPr="004D268A">
        <w:rPr>
          <w:rFonts w:cs="Calibri"/>
          <w:sz w:val="20"/>
          <w:szCs w:val="20"/>
          <w:lang w:val="es-ES_tradnl"/>
        </w:rPr>
        <w:t>do afirma que se debe a la acción de</w:t>
      </w:r>
      <w:r w:rsidR="00E71465">
        <w:rPr>
          <w:rFonts w:cs="Calibri"/>
          <w:sz w:val="20"/>
          <w:szCs w:val="20"/>
          <w:lang w:val="es-ES_tradnl"/>
        </w:rPr>
        <w:t xml:space="preserve"> </w:t>
      </w:r>
      <w:r w:rsidRPr="004D268A">
        <w:rPr>
          <w:rFonts w:cs="Calibri"/>
          <w:sz w:val="20"/>
          <w:szCs w:val="20"/>
          <w:lang w:val="es-ES_tradnl"/>
        </w:rPr>
        <w:t>l</w:t>
      </w:r>
      <w:r w:rsidR="00E71465">
        <w:rPr>
          <w:rFonts w:cs="Calibri"/>
          <w:sz w:val="20"/>
          <w:szCs w:val="20"/>
          <w:lang w:val="es-ES_tradnl"/>
        </w:rPr>
        <w:t>a propia presunta víctima</w:t>
      </w:r>
      <w:r w:rsidRPr="004D268A">
        <w:rPr>
          <w:rFonts w:cs="Calibri"/>
          <w:sz w:val="20"/>
          <w:szCs w:val="20"/>
          <w:lang w:val="es-ES_tradnl"/>
        </w:rPr>
        <w:t xml:space="preserve">, que </w:t>
      </w:r>
      <w:r w:rsidR="00E71465">
        <w:rPr>
          <w:rFonts w:cs="Calibri"/>
          <w:sz w:val="20"/>
          <w:szCs w:val="20"/>
          <w:lang w:val="es-ES_tradnl"/>
        </w:rPr>
        <w:t>habría</w:t>
      </w:r>
      <w:r w:rsidRPr="004D268A">
        <w:rPr>
          <w:rFonts w:cs="Calibri"/>
          <w:sz w:val="20"/>
          <w:szCs w:val="20"/>
          <w:lang w:val="es-ES_tradnl"/>
        </w:rPr>
        <w:t xml:space="preserve"> presentado </w:t>
      </w:r>
      <w:r w:rsidR="00876DB2" w:rsidRPr="004D268A">
        <w:rPr>
          <w:rFonts w:cs="Calibri"/>
          <w:sz w:val="20"/>
          <w:szCs w:val="20"/>
          <w:lang w:val="es-ES_tradnl"/>
        </w:rPr>
        <w:t xml:space="preserve">excesivos recursos que impedirían el examen del caso. La Comisión observa que el peticionario presentó una serie de recursos de reposición, apelación, incidentes, amparos y apelaciones de amparos en relación con todas las decisiones judiciales dictadas por los tribunales de Guatemala. </w:t>
      </w:r>
      <w:r w:rsidR="00E71465">
        <w:rPr>
          <w:rFonts w:cs="Calibri"/>
          <w:sz w:val="20"/>
          <w:szCs w:val="20"/>
          <w:lang w:val="es-ES_tradnl"/>
        </w:rPr>
        <w:t>E</w:t>
      </w:r>
      <w:r w:rsidR="00995464" w:rsidRPr="004D268A">
        <w:rPr>
          <w:rFonts w:cs="Calibri"/>
          <w:sz w:val="20"/>
          <w:szCs w:val="20"/>
          <w:lang w:val="es-ES_tradnl"/>
        </w:rPr>
        <w:t>n principio, no es necesario el agotamiento de recursos extraordinarios</w:t>
      </w:r>
      <w:r w:rsidR="00E71465" w:rsidRPr="00E71465">
        <w:rPr>
          <w:rFonts w:cs="Calibri"/>
          <w:sz w:val="20"/>
          <w:szCs w:val="20"/>
          <w:lang w:val="es-ES_tradnl"/>
        </w:rPr>
        <w:t xml:space="preserve"> </w:t>
      </w:r>
      <w:r w:rsidR="00E71465" w:rsidRPr="004D268A">
        <w:rPr>
          <w:rFonts w:cs="Calibri"/>
          <w:sz w:val="20"/>
          <w:szCs w:val="20"/>
          <w:lang w:val="es-ES_tradnl"/>
        </w:rPr>
        <w:t xml:space="preserve">en todos los </w:t>
      </w:r>
      <w:r w:rsidR="0004544A" w:rsidRPr="004D268A">
        <w:rPr>
          <w:rFonts w:cs="Calibri"/>
          <w:sz w:val="20"/>
          <w:szCs w:val="20"/>
          <w:lang w:val="es-ES_tradnl"/>
        </w:rPr>
        <w:t>casos,</w:t>
      </w:r>
      <w:r w:rsidR="00995464" w:rsidRPr="004D268A">
        <w:rPr>
          <w:rFonts w:cs="Calibri"/>
          <w:sz w:val="20"/>
          <w:szCs w:val="20"/>
          <w:lang w:val="es-ES_tradnl"/>
        </w:rPr>
        <w:t xml:space="preserve"> si el peticionario considera que pueden tener un resultado favorable en el remedio de la situación jurídica alegadamente vulnerada y decide acudir a esta vía, debe agotarlos de conformidad con las normas procesales vigentes, siempre que las condiciones de acceso a los mismos sean razonables. Por lo tanto, en vista de que </w:t>
      </w:r>
      <w:r w:rsidR="00876DB2" w:rsidRPr="004D268A">
        <w:rPr>
          <w:rFonts w:cs="Calibri"/>
          <w:sz w:val="20"/>
          <w:szCs w:val="20"/>
          <w:lang w:val="es-ES_tradnl"/>
        </w:rPr>
        <w:t>la presunta víctima presentó una serie de recursos que</w:t>
      </w:r>
      <w:r w:rsidR="00E71465">
        <w:rPr>
          <w:rFonts w:cs="Calibri"/>
          <w:sz w:val="20"/>
          <w:szCs w:val="20"/>
          <w:lang w:val="es-ES_tradnl"/>
        </w:rPr>
        <w:t xml:space="preserve"> </w:t>
      </w:r>
      <w:r w:rsidR="00876DB2" w:rsidRPr="004D268A">
        <w:rPr>
          <w:rFonts w:cs="Calibri"/>
          <w:sz w:val="20"/>
          <w:szCs w:val="20"/>
          <w:lang w:val="es-ES_tradnl"/>
        </w:rPr>
        <w:t>retardar</w:t>
      </w:r>
      <w:r w:rsidR="00E71465">
        <w:rPr>
          <w:rFonts w:cs="Calibri"/>
          <w:sz w:val="20"/>
          <w:szCs w:val="20"/>
          <w:lang w:val="es-ES_tradnl"/>
        </w:rPr>
        <w:t>on</w:t>
      </w:r>
      <w:r w:rsidR="00876DB2" w:rsidRPr="004D268A">
        <w:rPr>
          <w:rFonts w:cs="Calibri"/>
          <w:sz w:val="20"/>
          <w:szCs w:val="20"/>
          <w:lang w:val="es-ES_tradnl"/>
        </w:rPr>
        <w:t xml:space="preserve"> el proceso y que </w:t>
      </w:r>
      <w:r w:rsidR="00E71465">
        <w:rPr>
          <w:rFonts w:cs="Calibri"/>
          <w:sz w:val="20"/>
          <w:szCs w:val="20"/>
          <w:lang w:val="es-ES_tradnl"/>
        </w:rPr>
        <w:t>acudió</w:t>
      </w:r>
      <w:r w:rsidR="00876DB2" w:rsidRPr="004D268A">
        <w:rPr>
          <w:rFonts w:cs="Calibri"/>
          <w:sz w:val="20"/>
          <w:szCs w:val="20"/>
          <w:lang w:val="es-ES_tradnl"/>
        </w:rPr>
        <w:t xml:space="preserve"> </w:t>
      </w:r>
      <w:r w:rsidR="00E71465">
        <w:rPr>
          <w:rFonts w:cs="Calibri"/>
          <w:sz w:val="20"/>
          <w:szCs w:val="20"/>
          <w:lang w:val="es-ES_tradnl"/>
        </w:rPr>
        <w:t xml:space="preserve">en numerosas oportunidades a </w:t>
      </w:r>
      <w:r w:rsidR="00876DB2" w:rsidRPr="004D268A">
        <w:rPr>
          <w:rFonts w:cs="Calibri"/>
          <w:sz w:val="20"/>
          <w:szCs w:val="20"/>
          <w:lang w:val="es-ES_tradnl"/>
        </w:rPr>
        <w:t>vías extraordinarias que no fueron agotadas</w:t>
      </w:r>
      <w:r w:rsidR="00995464" w:rsidRPr="004D268A">
        <w:rPr>
          <w:rFonts w:cs="Calibri"/>
          <w:sz w:val="20"/>
          <w:szCs w:val="20"/>
          <w:lang w:val="es-ES_tradnl"/>
        </w:rPr>
        <w:t>, la Comisión considera que la presente petición no cumple con el requisito del agotamiento de los recursos internos en los términos del artículo 46.1.a de la Convención</w:t>
      </w:r>
      <w:r w:rsidR="00E71465">
        <w:rPr>
          <w:rFonts w:cs="Calibri"/>
          <w:sz w:val="20"/>
          <w:szCs w:val="20"/>
          <w:lang w:val="es-ES_tradnl"/>
        </w:rPr>
        <w:t xml:space="preserve"> Americana</w:t>
      </w:r>
      <w:r w:rsidR="00995464" w:rsidRPr="004D268A">
        <w:rPr>
          <w:rStyle w:val="FootnoteReference"/>
          <w:rFonts w:cs="Calibri"/>
          <w:sz w:val="20"/>
          <w:szCs w:val="20"/>
        </w:rPr>
        <w:footnoteReference w:id="11"/>
      </w:r>
      <w:r w:rsidR="00995464" w:rsidRPr="004D268A">
        <w:rPr>
          <w:rFonts w:cs="Calibri"/>
          <w:sz w:val="20"/>
          <w:szCs w:val="20"/>
          <w:lang w:val="es-ES_tradnl"/>
        </w:rPr>
        <w:t>.</w:t>
      </w:r>
    </w:p>
    <w:p w14:paraId="327AF9E2" w14:textId="31DF83E8" w:rsidR="003239B8" w:rsidRPr="004D268A" w:rsidRDefault="003239B8" w:rsidP="003239B8">
      <w:pPr>
        <w:pStyle w:val="ListParagraph"/>
        <w:spacing w:before="240" w:after="240"/>
        <w:jc w:val="both"/>
        <w:rPr>
          <w:rFonts w:asciiTheme="majorHAnsi" w:hAnsiTheme="majorHAnsi"/>
          <w:b/>
          <w:bCs/>
          <w:color w:val="auto"/>
          <w:sz w:val="20"/>
          <w:szCs w:val="20"/>
          <w:lang w:val="es-ES"/>
        </w:rPr>
      </w:pPr>
      <w:r w:rsidRPr="004D268A">
        <w:rPr>
          <w:rFonts w:asciiTheme="majorHAnsi" w:hAnsiTheme="majorHAnsi"/>
          <w:b/>
          <w:bCs/>
          <w:color w:val="auto"/>
          <w:sz w:val="20"/>
          <w:szCs w:val="20"/>
          <w:lang w:val="es-ES"/>
        </w:rPr>
        <w:t xml:space="preserve">VII. </w:t>
      </w:r>
      <w:r w:rsidRPr="004D268A">
        <w:rPr>
          <w:rFonts w:asciiTheme="majorHAnsi" w:hAnsiTheme="majorHAnsi"/>
          <w:b/>
          <w:bCs/>
          <w:color w:val="auto"/>
          <w:sz w:val="20"/>
          <w:szCs w:val="20"/>
          <w:lang w:val="es-ES"/>
        </w:rPr>
        <w:tab/>
        <w:t>DECISIÓN</w:t>
      </w:r>
    </w:p>
    <w:p w14:paraId="1C6B5A19" w14:textId="54CF08F5" w:rsidR="000419AD" w:rsidRPr="004D268A" w:rsidRDefault="000419AD" w:rsidP="00305835">
      <w:pPr>
        <w:pStyle w:val="ListParagraph"/>
        <w:numPr>
          <w:ilvl w:val="0"/>
          <w:numId w:val="55"/>
        </w:numPr>
        <w:rPr>
          <w:rFonts w:eastAsia="Arial Unicode MS" w:cs="Times New Roman"/>
          <w:color w:val="auto"/>
          <w:sz w:val="20"/>
          <w:szCs w:val="20"/>
          <w:lang w:val="es-ES" w:eastAsia="en-US"/>
        </w:rPr>
      </w:pPr>
      <w:r w:rsidRPr="004D268A">
        <w:rPr>
          <w:rFonts w:eastAsia="Arial Unicode MS" w:cs="Times New Roman"/>
          <w:color w:val="auto"/>
          <w:sz w:val="20"/>
          <w:szCs w:val="20"/>
          <w:lang w:val="es-ES" w:eastAsia="en-US"/>
        </w:rPr>
        <w:t>Declarar inadmisible la presente petición</w:t>
      </w:r>
      <w:r w:rsidR="0004544A">
        <w:rPr>
          <w:rFonts w:eastAsia="Arial Unicode MS" w:cs="Times New Roman"/>
          <w:color w:val="auto"/>
          <w:sz w:val="20"/>
          <w:szCs w:val="20"/>
          <w:lang w:val="es-ES" w:eastAsia="en-US"/>
        </w:rPr>
        <w:t>.</w:t>
      </w:r>
    </w:p>
    <w:p w14:paraId="5D6C31AB" w14:textId="77777777" w:rsidR="000419AD" w:rsidRPr="004D268A" w:rsidRDefault="000419AD" w:rsidP="000419AD">
      <w:pPr>
        <w:pStyle w:val="ListParagraph"/>
        <w:rPr>
          <w:rFonts w:eastAsia="Arial Unicode MS" w:cs="Times New Roman"/>
          <w:color w:val="auto"/>
          <w:sz w:val="20"/>
          <w:szCs w:val="20"/>
          <w:lang w:val="es-ES" w:eastAsia="en-US"/>
        </w:rPr>
      </w:pPr>
    </w:p>
    <w:p w14:paraId="7A8E3704" w14:textId="54CBFF03"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D268A">
        <w:rPr>
          <w:rFonts w:asciiTheme="majorHAnsi" w:hAnsiTheme="majorHAnsi"/>
          <w:sz w:val="20"/>
          <w:szCs w:val="20"/>
          <w:lang w:val="es-ES"/>
        </w:rPr>
        <w:t>Notificar a las partes la presente decisión; y publicar esta decisión e incluirla en su Informe Anual a la Asamblea General de la Organización de los Estados Americ</w:t>
      </w:r>
      <w:r w:rsidRPr="009B7794">
        <w:rPr>
          <w:rFonts w:asciiTheme="majorHAnsi" w:hAnsiTheme="majorHAnsi"/>
          <w:sz w:val="20"/>
          <w:szCs w:val="20"/>
          <w:lang w:val="es-ES"/>
        </w:rPr>
        <w:t>anos.</w:t>
      </w:r>
    </w:p>
    <w:p w14:paraId="4DCA936C" w14:textId="29929E1B" w:rsidR="000523A3" w:rsidRPr="00A37B82" w:rsidRDefault="000523A3" w:rsidP="00FF613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523A3" w:rsidRPr="00A37B82"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6FDE" w16cex:dateUtc="2020-07-30T20:12:00Z"/>
  <w16cex:commentExtensible w16cex:durableId="22CD7839" w16cex:dateUtc="2020-07-30T20:47:00Z"/>
  <w16cex:commentExtensible w16cex:durableId="22CEC8A4" w16cex:dateUtc="2020-07-31T20:43:00Z"/>
  <w16cex:commentExtensible w16cex:durableId="22D16C7B" w16cex:dateUtc="2020-08-02T20:46:00Z"/>
  <w16cex:commentExtensible w16cex:durableId="22D2B5D2" w16cex:dateUtc="2020-08-03T20:12:00Z"/>
  <w16cex:commentExtensible w16cex:durableId="22D3A805" w16cex:dateUtc="2020-08-04T13:25:00Z"/>
  <w16cex:commentExtensible w16cex:durableId="22D3AA7A" w16cex:dateUtc="2020-08-04T13:35:00Z"/>
  <w16cex:commentExtensible w16cex:durableId="22D3C4DD" w16cex:dateUtc="2020-08-04T15:28:00Z"/>
  <w16cex:commentExtensible w16cex:durableId="22D98FDD" w16cex:dateUtc="2020-08-09T00:55:00Z"/>
  <w16cex:commentExtensible w16cex:durableId="22D99277" w16cex:dateUtc="2020-08-09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BF5429" w16cid:durableId="22CD6FDE"/>
  <w16cid:commentId w16cid:paraId="78D81659" w16cid:durableId="2370CC03"/>
  <w16cid:commentId w16cid:paraId="1727712D" w16cid:durableId="22CD7839"/>
  <w16cid:commentId w16cid:paraId="33D38DE8" w16cid:durableId="2370CC05"/>
  <w16cid:commentId w16cid:paraId="5F2D8A70" w16cid:durableId="22CEC8A4"/>
  <w16cid:commentId w16cid:paraId="2B3269FF" w16cid:durableId="2370CC07"/>
  <w16cid:commentId w16cid:paraId="7124C247" w16cid:durableId="22D16C7B"/>
  <w16cid:commentId w16cid:paraId="2A3E0499" w16cid:durableId="22D2B5D2"/>
  <w16cid:commentId w16cid:paraId="28431D27" w16cid:durableId="22D3A805"/>
  <w16cid:commentId w16cid:paraId="31C22428" w16cid:durableId="22D3AA7A"/>
  <w16cid:commentId w16cid:paraId="7FF1D4D7" w16cid:durableId="22D3C4DD"/>
  <w16cid:commentId w16cid:paraId="087F05CA" w16cid:durableId="22D98FDD"/>
  <w16cid:commentId w16cid:paraId="2277DADC" w16cid:durableId="22D992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C95F" w14:textId="77777777" w:rsidR="00697C22" w:rsidRDefault="00697C22">
      <w:r>
        <w:separator/>
      </w:r>
    </w:p>
  </w:endnote>
  <w:endnote w:type="continuationSeparator" w:id="0">
    <w:p w14:paraId="07B32CF2" w14:textId="77777777" w:rsidR="00697C22" w:rsidRDefault="006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290D" w14:textId="77777777" w:rsidR="007932F0" w:rsidRDefault="00793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BBA5B4A" w14:textId="69BE8D4E" w:rsidR="00F44543" w:rsidRPr="00934A2C" w:rsidRDefault="00F4454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7D9C">
          <w:rPr>
            <w:noProof/>
            <w:sz w:val="16"/>
            <w:szCs w:val="22"/>
          </w:rPr>
          <w:t>3</w:t>
        </w:r>
        <w:r w:rsidRPr="00934A2C">
          <w:rPr>
            <w:noProof/>
            <w:sz w:val="16"/>
            <w:szCs w:val="22"/>
          </w:rPr>
          <w:fldChar w:fldCharType="end"/>
        </w:r>
      </w:p>
    </w:sdtContent>
  </w:sdt>
  <w:p w14:paraId="374D2257" w14:textId="77777777" w:rsidR="00F44543" w:rsidRDefault="00F44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E37D" w14:textId="77777777" w:rsidR="00F44543" w:rsidRPr="00934A2C" w:rsidRDefault="00F44543">
    <w:pPr>
      <w:pStyle w:val="Footer"/>
      <w:jc w:val="center"/>
      <w:rPr>
        <w:sz w:val="16"/>
        <w:szCs w:val="22"/>
      </w:rPr>
    </w:pPr>
  </w:p>
  <w:p w14:paraId="65F0E9C8" w14:textId="77777777" w:rsidR="00F44543" w:rsidRDefault="00F4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A98E" w14:textId="77777777" w:rsidR="00697C22" w:rsidRPr="000F35ED" w:rsidRDefault="00697C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CD72A5" w14:textId="77777777" w:rsidR="00697C22" w:rsidRPr="000F35ED" w:rsidRDefault="00697C22" w:rsidP="000F35ED">
      <w:pPr>
        <w:rPr>
          <w:rFonts w:asciiTheme="majorHAnsi" w:hAnsiTheme="majorHAnsi"/>
          <w:sz w:val="16"/>
          <w:szCs w:val="16"/>
        </w:rPr>
      </w:pPr>
      <w:r w:rsidRPr="000F35ED">
        <w:rPr>
          <w:rFonts w:asciiTheme="majorHAnsi" w:hAnsiTheme="majorHAnsi"/>
          <w:sz w:val="16"/>
          <w:szCs w:val="16"/>
        </w:rPr>
        <w:separator/>
      </w:r>
    </w:p>
    <w:p w14:paraId="0EB3EC67" w14:textId="77777777" w:rsidR="00697C22" w:rsidRPr="000F35ED" w:rsidRDefault="00697C2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3EB8046" w14:textId="77777777" w:rsidR="00697C22" w:rsidRPr="000F35ED" w:rsidRDefault="00697C2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E43134B" w14:textId="77777777" w:rsidR="00F44543" w:rsidRPr="005035AD" w:rsidRDefault="00F44543" w:rsidP="00306F33">
      <w:pPr>
        <w:pStyle w:val="FootnoteText"/>
        <w:ind w:firstLine="720"/>
        <w:rPr>
          <w:rFonts w:ascii="Cambria" w:hAnsi="Cambria"/>
          <w:color w:val="auto"/>
          <w:sz w:val="16"/>
          <w:szCs w:val="16"/>
          <w:lang w:val="es-ES"/>
        </w:rPr>
      </w:pP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3">
    <w:p w14:paraId="7A5B2E58" w14:textId="0F8F11BA" w:rsidR="00F44543" w:rsidRPr="000523A3" w:rsidRDefault="002A5CBA">
      <w:pPr>
        <w:pStyle w:val="FootnoteText"/>
        <w:rPr>
          <w:rFonts w:ascii="Cambria" w:hAnsi="Cambria"/>
          <w:color w:val="auto"/>
          <w:sz w:val="16"/>
          <w:szCs w:val="16"/>
          <w:lang w:val="es-419"/>
        </w:rPr>
      </w:pPr>
      <w:r>
        <w:rPr>
          <w:rFonts w:ascii="Cambria" w:hAnsi="Cambria"/>
          <w:color w:val="auto"/>
          <w:sz w:val="16"/>
          <w:szCs w:val="16"/>
          <w:lang w:val="es-419"/>
        </w:rPr>
        <w:tab/>
      </w:r>
      <w:r w:rsidR="00F44543" w:rsidRPr="005035AD">
        <w:rPr>
          <w:rStyle w:val="FootnoteReference"/>
          <w:rFonts w:ascii="Cambria" w:hAnsi="Cambria"/>
          <w:color w:val="auto"/>
          <w:sz w:val="16"/>
          <w:szCs w:val="16"/>
        </w:rPr>
        <w:footnoteRef/>
      </w:r>
      <w:r w:rsidR="00F44543" w:rsidRPr="000523A3">
        <w:rPr>
          <w:rFonts w:ascii="Cambria" w:hAnsi="Cambria"/>
          <w:color w:val="auto"/>
          <w:sz w:val="16"/>
          <w:szCs w:val="16"/>
          <w:lang w:val="es-419"/>
        </w:rPr>
        <w:t xml:space="preserve"> En adelante “Convención Americana”</w:t>
      </w:r>
    </w:p>
  </w:footnote>
  <w:footnote w:id="4">
    <w:p w14:paraId="61F247BE" w14:textId="4615AD37" w:rsidR="00F44543" w:rsidRPr="000523A3" w:rsidRDefault="002A5CBA">
      <w:pPr>
        <w:pStyle w:val="FootnoteText"/>
        <w:rPr>
          <w:rFonts w:ascii="Cambria" w:hAnsi="Cambria"/>
          <w:color w:val="auto"/>
          <w:sz w:val="16"/>
          <w:szCs w:val="16"/>
          <w:lang w:val="es-419"/>
        </w:rPr>
      </w:pPr>
      <w:r>
        <w:rPr>
          <w:rFonts w:ascii="Cambria" w:hAnsi="Cambria"/>
          <w:color w:val="auto"/>
          <w:sz w:val="16"/>
          <w:szCs w:val="16"/>
          <w:lang w:val="es-419"/>
        </w:rPr>
        <w:tab/>
      </w:r>
      <w:r w:rsidR="00F44543" w:rsidRPr="005035AD">
        <w:rPr>
          <w:rStyle w:val="FootnoteReference"/>
          <w:rFonts w:ascii="Cambria" w:hAnsi="Cambria"/>
          <w:color w:val="auto"/>
          <w:sz w:val="16"/>
          <w:szCs w:val="16"/>
        </w:rPr>
        <w:footnoteRef/>
      </w:r>
      <w:r w:rsidR="00F44543" w:rsidRPr="000523A3">
        <w:rPr>
          <w:rFonts w:ascii="Cambria" w:hAnsi="Cambria"/>
          <w:color w:val="auto"/>
          <w:sz w:val="16"/>
          <w:szCs w:val="16"/>
          <w:lang w:val="es-419"/>
        </w:rPr>
        <w:t xml:space="preserve"> </w:t>
      </w:r>
      <w:proofErr w:type="spellStart"/>
      <w:r w:rsidR="00F44543" w:rsidRPr="000523A3">
        <w:rPr>
          <w:rFonts w:ascii="Cambria" w:hAnsi="Cambria"/>
          <w:color w:val="auto"/>
          <w:sz w:val="16"/>
          <w:szCs w:val="16"/>
          <w:lang w:val="es-419"/>
        </w:rPr>
        <w:t>Artíctulo</w:t>
      </w:r>
      <w:proofErr w:type="spellEnd"/>
      <w:r w:rsidR="00F44543" w:rsidRPr="000523A3">
        <w:rPr>
          <w:rFonts w:ascii="Cambria" w:hAnsi="Cambria"/>
          <w:color w:val="auto"/>
          <w:sz w:val="16"/>
          <w:szCs w:val="16"/>
          <w:lang w:val="es-419"/>
        </w:rPr>
        <w:t xml:space="preserve"> 14.3 del Pacto de Derechos Civiles y </w:t>
      </w:r>
      <w:proofErr w:type="spellStart"/>
      <w:r w:rsidR="00F44543" w:rsidRPr="000523A3">
        <w:rPr>
          <w:rFonts w:ascii="Cambria" w:hAnsi="Cambria"/>
          <w:color w:val="auto"/>
          <w:sz w:val="16"/>
          <w:szCs w:val="16"/>
          <w:lang w:val="es-419"/>
        </w:rPr>
        <w:t>Politicos</w:t>
      </w:r>
      <w:proofErr w:type="spellEnd"/>
    </w:p>
  </w:footnote>
  <w:footnote w:id="5">
    <w:p w14:paraId="2E47F372" w14:textId="77777777" w:rsidR="00F44543" w:rsidRPr="005035AD" w:rsidRDefault="00F44543" w:rsidP="00306F33">
      <w:pPr>
        <w:pStyle w:val="FootnoteText"/>
        <w:ind w:firstLine="720"/>
        <w:jc w:val="both"/>
        <w:rPr>
          <w:rFonts w:ascii="Cambria" w:hAnsi="Cambria"/>
          <w:color w:val="auto"/>
          <w:sz w:val="16"/>
          <w:szCs w:val="16"/>
          <w:lang w:val="es-ES"/>
        </w:rPr>
      </w:pP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Las observaciones de cada parte fueron debidamente trasladadas a la parte contraria.</w:t>
      </w:r>
    </w:p>
  </w:footnote>
  <w:footnote w:id="6">
    <w:p w14:paraId="6835F2DB" w14:textId="77777777" w:rsidR="00F44543" w:rsidRPr="005035AD" w:rsidRDefault="00F44543" w:rsidP="00041CF9">
      <w:pPr>
        <w:pStyle w:val="FootnoteText"/>
        <w:jc w:val="both"/>
        <w:rPr>
          <w:rFonts w:ascii="Cambria" w:hAnsi="Cambria"/>
          <w:color w:val="auto"/>
          <w:sz w:val="16"/>
          <w:szCs w:val="16"/>
          <w:lang w:val="es-ES"/>
        </w:rPr>
      </w:pPr>
      <w:r w:rsidRPr="005035AD">
        <w:rPr>
          <w:rFonts w:ascii="Cambria" w:hAnsi="Cambria"/>
          <w:color w:val="auto"/>
          <w:sz w:val="16"/>
          <w:szCs w:val="16"/>
          <w:lang w:val="es-ES"/>
        </w:rPr>
        <w:tab/>
      </w: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CIDH, Informe No. 82/17, Petición 1067-07. Admisibilidad. Rosa Ángela Martino y María Cristina González. Argentina. 7 de julio de 2017, párr. 12.</w:t>
      </w:r>
    </w:p>
  </w:footnote>
  <w:footnote w:id="7">
    <w:p w14:paraId="55E2A36C" w14:textId="77777777" w:rsidR="00F44543" w:rsidRPr="005035AD" w:rsidRDefault="00F44543" w:rsidP="00024221">
      <w:pPr>
        <w:pStyle w:val="FootnoteText"/>
        <w:jc w:val="both"/>
        <w:rPr>
          <w:rFonts w:ascii="Cambria" w:hAnsi="Cambria"/>
          <w:color w:val="auto"/>
          <w:sz w:val="16"/>
          <w:szCs w:val="16"/>
          <w:lang w:val="es-ES"/>
        </w:rPr>
      </w:pPr>
      <w:r w:rsidRPr="005035AD">
        <w:rPr>
          <w:rFonts w:ascii="Cambria" w:hAnsi="Cambria"/>
          <w:color w:val="auto"/>
          <w:sz w:val="16"/>
          <w:szCs w:val="16"/>
          <w:lang w:val="es-ES"/>
        </w:rPr>
        <w:tab/>
      </w: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CIDH, Informe No. 77/14, Petición 140-05. Admisibilidad. Inés Yadira Cubero González. Honduras. 15 de agosto de 2014, párrs. 26 y 27.</w:t>
      </w:r>
    </w:p>
  </w:footnote>
  <w:footnote w:id="8">
    <w:p w14:paraId="3486A0D8" w14:textId="77777777" w:rsidR="00F44543" w:rsidRPr="005035AD" w:rsidRDefault="00F44543" w:rsidP="00024221">
      <w:pPr>
        <w:pStyle w:val="FootnoteText"/>
        <w:jc w:val="both"/>
        <w:rPr>
          <w:rFonts w:ascii="Cambria" w:hAnsi="Cambria"/>
          <w:color w:val="auto"/>
          <w:sz w:val="16"/>
          <w:szCs w:val="16"/>
          <w:lang w:val="es-ES"/>
        </w:rPr>
      </w:pPr>
      <w:r w:rsidRPr="005035AD">
        <w:rPr>
          <w:rFonts w:ascii="Cambria" w:hAnsi="Cambria"/>
          <w:color w:val="auto"/>
          <w:sz w:val="16"/>
          <w:szCs w:val="16"/>
          <w:lang w:val="es-ES"/>
        </w:rPr>
        <w:tab/>
      </w: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CIDH, Informe No. 73/16, Petición 2191-12. Admisibilidad. Alexa Rodríguez. El Salvador. 6 de diciembre de 2016, párr. 7.</w:t>
      </w:r>
    </w:p>
  </w:footnote>
  <w:footnote w:id="9">
    <w:p w14:paraId="2BD55610" w14:textId="77777777" w:rsidR="00F44543" w:rsidRPr="005035AD" w:rsidRDefault="00F44543" w:rsidP="00024221">
      <w:pPr>
        <w:pStyle w:val="FootnoteText"/>
        <w:jc w:val="both"/>
        <w:rPr>
          <w:rFonts w:ascii="Cambria" w:hAnsi="Cambria"/>
          <w:color w:val="auto"/>
          <w:sz w:val="16"/>
          <w:szCs w:val="16"/>
          <w:lang w:val="es-ES"/>
        </w:rPr>
      </w:pPr>
      <w:r w:rsidRPr="005035AD">
        <w:rPr>
          <w:rFonts w:ascii="Cambria" w:hAnsi="Cambria"/>
          <w:color w:val="auto"/>
          <w:sz w:val="16"/>
          <w:szCs w:val="16"/>
          <w:lang w:val="es-ES"/>
        </w:rPr>
        <w:tab/>
      </w: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CIDH, Informe No. 64/17, Petición 585-06. Admisibilidad. Juan Ramón Matta Ballesteros y familia. Honduras. 25 de mayo de 2017, párrs. 28 y 29.</w:t>
      </w:r>
    </w:p>
  </w:footnote>
  <w:footnote w:id="10">
    <w:p w14:paraId="4F3E2931" w14:textId="77777777" w:rsidR="00F44543" w:rsidRPr="005035AD" w:rsidRDefault="00F44543" w:rsidP="00024221">
      <w:pPr>
        <w:pStyle w:val="FootnoteText"/>
        <w:jc w:val="both"/>
        <w:rPr>
          <w:rFonts w:ascii="Cambria" w:hAnsi="Cambria"/>
          <w:color w:val="auto"/>
          <w:sz w:val="16"/>
          <w:szCs w:val="16"/>
          <w:lang w:val="es-ES_tradnl"/>
        </w:rPr>
      </w:pPr>
      <w:r w:rsidRPr="005035AD">
        <w:rPr>
          <w:rFonts w:ascii="Cambria" w:hAnsi="Cambria"/>
          <w:color w:val="auto"/>
          <w:sz w:val="16"/>
          <w:szCs w:val="16"/>
          <w:lang w:val="es-ES"/>
        </w:rPr>
        <w:tab/>
      </w: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CIDH, Informe No. 125/17, Petición 1477-08. Admisibilidad. Henry Torres y otros. Colombia. 7 de septiembre de 2017, párr. 10.</w:t>
      </w:r>
    </w:p>
  </w:footnote>
  <w:footnote w:id="11">
    <w:p w14:paraId="2A200A45" w14:textId="77777777" w:rsidR="00F44543" w:rsidRPr="005035AD" w:rsidRDefault="00F44543" w:rsidP="00995464">
      <w:pPr>
        <w:pStyle w:val="FootnoteText"/>
        <w:jc w:val="both"/>
        <w:rPr>
          <w:rFonts w:ascii="Cambria" w:hAnsi="Cambria"/>
          <w:color w:val="auto"/>
          <w:sz w:val="16"/>
          <w:szCs w:val="16"/>
          <w:lang w:val="es-ES"/>
        </w:rPr>
      </w:pPr>
      <w:r w:rsidRPr="005035AD">
        <w:rPr>
          <w:rFonts w:ascii="Cambria" w:hAnsi="Cambria"/>
          <w:color w:val="auto"/>
          <w:sz w:val="16"/>
          <w:szCs w:val="16"/>
          <w:lang w:val="es-ES"/>
        </w:rPr>
        <w:tab/>
      </w:r>
      <w:r w:rsidRPr="005035AD">
        <w:rPr>
          <w:rStyle w:val="FootnoteReference"/>
          <w:rFonts w:ascii="Cambria" w:hAnsi="Cambria"/>
          <w:color w:val="auto"/>
          <w:sz w:val="16"/>
          <w:szCs w:val="16"/>
        </w:rPr>
        <w:footnoteRef/>
      </w:r>
      <w:r w:rsidRPr="005035AD">
        <w:rPr>
          <w:rFonts w:ascii="Cambria" w:hAnsi="Cambria"/>
          <w:color w:val="auto"/>
          <w:sz w:val="16"/>
          <w:szCs w:val="16"/>
          <w:lang w:val="es-ES"/>
        </w:rPr>
        <w:t xml:space="preserve"> CIDH, Informe No. 135/18, Petición 1045-07. Inadmisibilidad. Enrique Alberto Elías Waiman. Argentina. 20 de noviembre de 2018, párrs. 9 y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FE46" w14:textId="77777777" w:rsidR="00F44543" w:rsidRDefault="00F44543" w:rsidP="00760F7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21A702" w14:textId="77777777" w:rsidR="00F44543" w:rsidRDefault="00F44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9EC8" w14:textId="77777777" w:rsidR="00F44543" w:rsidRDefault="00F44543" w:rsidP="00A50FCF">
    <w:pPr>
      <w:pStyle w:val="Header"/>
      <w:tabs>
        <w:tab w:val="clear" w:pos="4320"/>
        <w:tab w:val="clear" w:pos="8640"/>
      </w:tabs>
      <w:jc w:val="center"/>
      <w:rPr>
        <w:sz w:val="22"/>
        <w:szCs w:val="22"/>
      </w:rPr>
    </w:pPr>
    <w:r>
      <w:rPr>
        <w:noProof/>
        <w:sz w:val="22"/>
        <w:szCs w:val="22"/>
      </w:rPr>
      <w:drawing>
        <wp:inline distT="0" distB="0" distL="0" distR="0" wp14:anchorId="51145B94" wp14:editId="150A113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89C3A11" w14:textId="0530970F" w:rsidR="00F44543" w:rsidRPr="00EC7D62" w:rsidRDefault="00697C22" w:rsidP="00A50FCF">
    <w:pPr>
      <w:pStyle w:val="Header"/>
      <w:tabs>
        <w:tab w:val="clear" w:pos="4320"/>
        <w:tab w:val="clear" w:pos="8640"/>
      </w:tabs>
      <w:jc w:val="center"/>
      <w:rPr>
        <w:sz w:val="22"/>
        <w:szCs w:val="22"/>
      </w:rPr>
    </w:pPr>
    <w:r>
      <w:rPr>
        <w:sz w:val="22"/>
        <w:szCs w:val="22"/>
      </w:rPr>
      <w:pict w14:anchorId="4FFBAD3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F689" w14:textId="77777777" w:rsidR="007932F0" w:rsidRDefault="00793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2A8AAC4"/>
    <w:lvl w:ilvl="0" w:tplc="D60E6438">
      <w:start w:val="1"/>
      <w:numFmt w:val="decimal"/>
      <w:lvlText w:val="%1."/>
      <w:lvlJc w:val="left"/>
      <w:pPr>
        <w:tabs>
          <w:tab w:val="num" w:pos="720"/>
        </w:tabs>
        <w:ind w:left="0" w:firstLine="720"/>
      </w:pPr>
      <w:rPr>
        <w:rFonts w:hint="default"/>
        <w:b w:val="0"/>
        <w:color w:val="auto"/>
        <w:sz w:val="19"/>
        <w:szCs w:val="19"/>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3A8"/>
    <w:rsid w:val="00000CDA"/>
    <w:rsid w:val="0000298D"/>
    <w:rsid w:val="00006E1F"/>
    <w:rsid w:val="000070D7"/>
    <w:rsid w:val="00011A80"/>
    <w:rsid w:val="0001788C"/>
    <w:rsid w:val="00024221"/>
    <w:rsid w:val="000337EF"/>
    <w:rsid w:val="00040C3A"/>
    <w:rsid w:val="000419AD"/>
    <w:rsid w:val="00041CF9"/>
    <w:rsid w:val="000433C9"/>
    <w:rsid w:val="0004544A"/>
    <w:rsid w:val="00045C7D"/>
    <w:rsid w:val="000523A3"/>
    <w:rsid w:val="00071174"/>
    <w:rsid w:val="000716C5"/>
    <w:rsid w:val="00075E23"/>
    <w:rsid w:val="0009344A"/>
    <w:rsid w:val="000A392E"/>
    <w:rsid w:val="000A575F"/>
    <w:rsid w:val="000B00B0"/>
    <w:rsid w:val="000D05CB"/>
    <w:rsid w:val="000D10DB"/>
    <w:rsid w:val="000D2AFE"/>
    <w:rsid w:val="000E5EB5"/>
    <w:rsid w:val="000F2992"/>
    <w:rsid w:val="000F35ED"/>
    <w:rsid w:val="00107131"/>
    <w:rsid w:val="0010736F"/>
    <w:rsid w:val="00113F73"/>
    <w:rsid w:val="0011673F"/>
    <w:rsid w:val="00121CC2"/>
    <w:rsid w:val="00131425"/>
    <w:rsid w:val="00133EE5"/>
    <w:rsid w:val="001549B6"/>
    <w:rsid w:val="00167A34"/>
    <w:rsid w:val="001A520D"/>
    <w:rsid w:val="001A7870"/>
    <w:rsid w:val="001B3A00"/>
    <w:rsid w:val="001C1B41"/>
    <w:rsid w:val="001D65EF"/>
    <w:rsid w:val="001E49E7"/>
    <w:rsid w:val="001F4890"/>
    <w:rsid w:val="001F7201"/>
    <w:rsid w:val="00223A29"/>
    <w:rsid w:val="002250A3"/>
    <w:rsid w:val="002269D4"/>
    <w:rsid w:val="00235217"/>
    <w:rsid w:val="00246D1F"/>
    <w:rsid w:val="00247403"/>
    <w:rsid w:val="00247542"/>
    <w:rsid w:val="00254B8A"/>
    <w:rsid w:val="002556C3"/>
    <w:rsid w:val="00255D9A"/>
    <w:rsid w:val="002616A3"/>
    <w:rsid w:val="00264EDE"/>
    <w:rsid w:val="00266B26"/>
    <w:rsid w:val="00266B61"/>
    <w:rsid w:val="0026712A"/>
    <w:rsid w:val="002704DB"/>
    <w:rsid w:val="00273CFD"/>
    <w:rsid w:val="00294E24"/>
    <w:rsid w:val="002A0AAE"/>
    <w:rsid w:val="002A5820"/>
    <w:rsid w:val="002A5CBA"/>
    <w:rsid w:val="002C4413"/>
    <w:rsid w:val="002D2B26"/>
    <w:rsid w:val="002D7936"/>
    <w:rsid w:val="002D7EA2"/>
    <w:rsid w:val="002E187C"/>
    <w:rsid w:val="002F3AB3"/>
    <w:rsid w:val="00302733"/>
    <w:rsid w:val="00305835"/>
    <w:rsid w:val="00306F33"/>
    <w:rsid w:val="00314078"/>
    <w:rsid w:val="0031535D"/>
    <w:rsid w:val="003239B8"/>
    <w:rsid w:val="0033169F"/>
    <w:rsid w:val="00344977"/>
    <w:rsid w:val="00346C95"/>
    <w:rsid w:val="00356185"/>
    <w:rsid w:val="00357E41"/>
    <w:rsid w:val="00360380"/>
    <w:rsid w:val="00372E54"/>
    <w:rsid w:val="0037519E"/>
    <w:rsid w:val="00386CF0"/>
    <w:rsid w:val="003A60C1"/>
    <w:rsid w:val="003B547A"/>
    <w:rsid w:val="003B70FB"/>
    <w:rsid w:val="003C14D1"/>
    <w:rsid w:val="003C676B"/>
    <w:rsid w:val="003D3BC2"/>
    <w:rsid w:val="003E6CA1"/>
    <w:rsid w:val="003F5154"/>
    <w:rsid w:val="00402F70"/>
    <w:rsid w:val="00405F9C"/>
    <w:rsid w:val="004065A8"/>
    <w:rsid w:val="00406C9F"/>
    <w:rsid w:val="0040791F"/>
    <w:rsid w:val="00414138"/>
    <w:rsid w:val="004165C2"/>
    <w:rsid w:val="00417691"/>
    <w:rsid w:val="004346AB"/>
    <w:rsid w:val="00434D1F"/>
    <w:rsid w:val="00437C5D"/>
    <w:rsid w:val="00441ECB"/>
    <w:rsid w:val="00445193"/>
    <w:rsid w:val="004614CA"/>
    <w:rsid w:val="00462C1B"/>
    <w:rsid w:val="0046471C"/>
    <w:rsid w:val="00467B7E"/>
    <w:rsid w:val="00473BB4"/>
    <w:rsid w:val="00477592"/>
    <w:rsid w:val="00483C10"/>
    <w:rsid w:val="00486F1C"/>
    <w:rsid w:val="0049419D"/>
    <w:rsid w:val="004A6A54"/>
    <w:rsid w:val="004A75B5"/>
    <w:rsid w:val="004B421C"/>
    <w:rsid w:val="004C20D2"/>
    <w:rsid w:val="004C2312"/>
    <w:rsid w:val="004C4B62"/>
    <w:rsid w:val="004C54C9"/>
    <w:rsid w:val="004D268A"/>
    <w:rsid w:val="004D4ABA"/>
    <w:rsid w:val="004D6025"/>
    <w:rsid w:val="004E2649"/>
    <w:rsid w:val="004F5487"/>
    <w:rsid w:val="004F626F"/>
    <w:rsid w:val="00501399"/>
    <w:rsid w:val="005035AD"/>
    <w:rsid w:val="00504487"/>
    <w:rsid w:val="005047ED"/>
    <w:rsid w:val="0050633D"/>
    <w:rsid w:val="00507BC4"/>
    <w:rsid w:val="00510B85"/>
    <w:rsid w:val="005128E4"/>
    <w:rsid w:val="005133DB"/>
    <w:rsid w:val="00514504"/>
    <w:rsid w:val="00521E1F"/>
    <w:rsid w:val="00525560"/>
    <w:rsid w:val="00544C49"/>
    <w:rsid w:val="005516A1"/>
    <w:rsid w:val="005559EF"/>
    <w:rsid w:val="00555E3B"/>
    <w:rsid w:val="00557963"/>
    <w:rsid w:val="00563557"/>
    <w:rsid w:val="0057141D"/>
    <w:rsid w:val="0057402A"/>
    <w:rsid w:val="005771D0"/>
    <w:rsid w:val="0059191A"/>
    <w:rsid w:val="005921FF"/>
    <w:rsid w:val="005933F0"/>
    <w:rsid w:val="00595795"/>
    <w:rsid w:val="005A24ED"/>
    <w:rsid w:val="005A6D0E"/>
    <w:rsid w:val="005B52B0"/>
    <w:rsid w:val="005B6806"/>
    <w:rsid w:val="005C4225"/>
    <w:rsid w:val="005F0DAD"/>
    <w:rsid w:val="005F0F33"/>
    <w:rsid w:val="005F35B9"/>
    <w:rsid w:val="00600DEB"/>
    <w:rsid w:val="00607F62"/>
    <w:rsid w:val="006145CC"/>
    <w:rsid w:val="00627C9F"/>
    <w:rsid w:val="006311E9"/>
    <w:rsid w:val="00632354"/>
    <w:rsid w:val="00635421"/>
    <w:rsid w:val="00642810"/>
    <w:rsid w:val="00652333"/>
    <w:rsid w:val="0066591C"/>
    <w:rsid w:val="006679C3"/>
    <w:rsid w:val="0067187E"/>
    <w:rsid w:val="00677DA2"/>
    <w:rsid w:val="0068009E"/>
    <w:rsid w:val="00682B53"/>
    <w:rsid w:val="00692219"/>
    <w:rsid w:val="00697C22"/>
    <w:rsid w:val="006A17D2"/>
    <w:rsid w:val="006A73E6"/>
    <w:rsid w:val="006B2D5C"/>
    <w:rsid w:val="006C0ECF"/>
    <w:rsid w:val="006C4EB1"/>
    <w:rsid w:val="006E0166"/>
    <w:rsid w:val="006E1CB2"/>
    <w:rsid w:val="006E2FFB"/>
    <w:rsid w:val="006E3874"/>
    <w:rsid w:val="006E7B34"/>
    <w:rsid w:val="0070697F"/>
    <w:rsid w:val="007103C4"/>
    <w:rsid w:val="00715819"/>
    <w:rsid w:val="0072199C"/>
    <w:rsid w:val="00722C9F"/>
    <w:rsid w:val="007253B8"/>
    <w:rsid w:val="007307D2"/>
    <w:rsid w:val="0073741F"/>
    <w:rsid w:val="00760F77"/>
    <w:rsid w:val="0076643F"/>
    <w:rsid w:val="00777F63"/>
    <w:rsid w:val="00787141"/>
    <w:rsid w:val="007932F0"/>
    <w:rsid w:val="007A1F8E"/>
    <w:rsid w:val="007A5817"/>
    <w:rsid w:val="007A69CB"/>
    <w:rsid w:val="007B05C4"/>
    <w:rsid w:val="007B60E9"/>
    <w:rsid w:val="007B6CC3"/>
    <w:rsid w:val="007B76D3"/>
    <w:rsid w:val="007C3334"/>
    <w:rsid w:val="007D2B98"/>
    <w:rsid w:val="007E21BC"/>
    <w:rsid w:val="007E7C82"/>
    <w:rsid w:val="007F2AA1"/>
    <w:rsid w:val="007F588D"/>
    <w:rsid w:val="00803C25"/>
    <w:rsid w:val="00803E70"/>
    <w:rsid w:val="00803F1C"/>
    <w:rsid w:val="0080600E"/>
    <w:rsid w:val="00814688"/>
    <w:rsid w:val="00817612"/>
    <w:rsid w:val="008338A4"/>
    <w:rsid w:val="00834D49"/>
    <w:rsid w:val="0083726F"/>
    <w:rsid w:val="00837C45"/>
    <w:rsid w:val="00844730"/>
    <w:rsid w:val="008457C2"/>
    <w:rsid w:val="00846628"/>
    <w:rsid w:val="00857A82"/>
    <w:rsid w:val="00872153"/>
    <w:rsid w:val="00873836"/>
    <w:rsid w:val="00876DB2"/>
    <w:rsid w:val="00885737"/>
    <w:rsid w:val="00890650"/>
    <w:rsid w:val="008944DC"/>
    <w:rsid w:val="00897E12"/>
    <w:rsid w:val="008A0C67"/>
    <w:rsid w:val="008A7E0F"/>
    <w:rsid w:val="008B12F5"/>
    <w:rsid w:val="008C5E2D"/>
    <w:rsid w:val="008D768D"/>
    <w:rsid w:val="008E3759"/>
    <w:rsid w:val="008E3BFE"/>
    <w:rsid w:val="008E62F0"/>
    <w:rsid w:val="008F1912"/>
    <w:rsid w:val="0090270B"/>
    <w:rsid w:val="009041DC"/>
    <w:rsid w:val="00911C6F"/>
    <w:rsid w:val="00913ED8"/>
    <w:rsid w:val="00917B5A"/>
    <w:rsid w:val="00920A58"/>
    <w:rsid w:val="00920A8C"/>
    <w:rsid w:val="009229C4"/>
    <w:rsid w:val="00927ABB"/>
    <w:rsid w:val="00934A2C"/>
    <w:rsid w:val="00944D91"/>
    <w:rsid w:val="00953651"/>
    <w:rsid w:val="0095736F"/>
    <w:rsid w:val="00961A98"/>
    <w:rsid w:val="0096706E"/>
    <w:rsid w:val="00974491"/>
    <w:rsid w:val="00975C4E"/>
    <w:rsid w:val="00981FBA"/>
    <w:rsid w:val="00995464"/>
    <w:rsid w:val="00997BC5"/>
    <w:rsid w:val="009A4F41"/>
    <w:rsid w:val="009B125D"/>
    <w:rsid w:val="009B381B"/>
    <w:rsid w:val="009C36F7"/>
    <w:rsid w:val="009D1753"/>
    <w:rsid w:val="009D3D56"/>
    <w:rsid w:val="009D7611"/>
    <w:rsid w:val="009E0B61"/>
    <w:rsid w:val="009E4C65"/>
    <w:rsid w:val="009E53DE"/>
    <w:rsid w:val="009F25C6"/>
    <w:rsid w:val="009F2C26"/>
    <w:rsid w:val="00A11212"/>
    <w:rsid w:val="00A11E44"/>
    <w:rsid w:val="00A2101D"/>
    <w:rsid w:val="00A30100"/>
    <w:rsid w:val="00A328B3"/>
    <w:rsid w:val="00A50FCF"/>
    <w:rsid w:val="00A528D1"/>
    <w:rsid w:val="00A60D24"/>
    <w:rsid w:val="00A610CD"/>
    <w:rsid w:val="00A7218A"/>
    <w:rsid w:val="00A758AA"/>
    <w:rsid w:val="00AA09A2"/>
    <w:rsid w:val="00AA3AC7"/>
    <w:rsid w:val="00AA7996"/>
    <w:rsid w:val="00AC19CB"/>
    <w:rsid w:val="00AC6052"/>
    <w:rsid w:val="00AD4AE2"/>
    <w:rsid w:val="00AE5488"/>
    <w:rsid w:val="00AE6F91"/>
    <w:rsid w:val="00AF5571"/>
    <w:rsid w:val="00B07341"/>
    <w:rsid w:val="00B102D8"/>
    <w:rsid w:val="00B114F2"/>
    <w:rsid w:val="00B30539"/>
    <w:rsid w:val="00B314DB"/>
    <w:rsid w:val="00B361F2"/>
    <w:rsid w:val="00B3718B"/>
    <w:rsid w:val="00B3745F"/>
    <w:rsid w:val="00B4632A"/>
    <w:rsid w:val="00B530F1"/>
    <w:rsid w:val="00B53ACF"/>
    <w:rsid w:val="00B60EAF"/>
    <w:rsid w:val="00B65D4F"/>
    <w:rsid w:val="00B81CA3"/>
    <w:rsid w:val="00B93D7F"/>
    <w:rsid w:val="00BA1EBF"/>
    <w:rsid w:val="00BA276C"/>
    <w:rsid w:val="00BB019D"/>
    <w:rsid w:val="00BB306F"/>
    <w:rsid w:val="00BD0FF5"/>
    <w:rsid w:val="00BD4B89"/>
    <w:rsid w:val="00BD5922"/>
    <w:rsid w:val="00BF02CB"/>
    <w:rsid w:val="00BF6FD8"/>
    <w:rsid w:val="00C03680"/>
    <w:rsid w:val="00C054DF"/>
    <w:rsid w:val="00C11642"/>
    <w:rsid w:val="00C21762"/>
    <w:rsid w:val="00C21FEF"/>
    <w:rsid w:val="00C23BA4"/>
    <w:rsid w:val="00C24543"/>
    <w:rsid w:val="00C256A2"/>
    <w:rsid w:val="00C25ADB"/>
    <w:rsid w:val="00C37D9C"/>
    <w:rsid w:val="00C509FB"/>
    <w:rsid w:val="00C51515"/>
    <w:rsid w:val="00C53154"/>
    <w:rsid w:val="00C5660B"/>
    <w:rsid w:val="00C66B72"/>
    <w:rsid w:val="00C71E2D"/>
    <w:rsid w:val="00C87AC4"/>
    <w:rsid w:val="00C9567A"/>
    <w:rsid w:val="00CB212D"/>
    <w:rsid w:val="00CB2660"/>
    <w:rsid w:val="00CC5E90"/>
    <w:rsid w:val="00CD046C"/>
    <w:rsid w:val="00CD39DA"/>
    <w:rsid w:val="00CE076C"/>
    <w:rsid w:val="00CE5199"/>
    <w:rsid w:val="00CE66D5"/>
    <w:rsid w:val="00CF637A"/>
    <w:rsid w:val="00D059DE"/>
    <w:rsid w:val="00D05ABD"/>
    <w:rsid w:val="00D13FCE"/>
    <w:rsid w:val="00D306D1"/>
    <w:rsid w:val="00D30800"/>
    <w:rsid w:val="00D34786"/>
    <w:rsid w:val="00D37BFC"/>
    <w:rsid w:val="00D47A8E"/>
    <w:rsid w:val="00D52D14"/>
    <w:rsid w:val="00D5671F"/>
    <w:rsid w:val="00D712D3"/>
    <w:rsid w:val="00D71422"/>
    <w:rsid w:val="00D72DC6"/>
    <w:rsid w:val="00D7558D"/>
    <w:rsid w:val="00D81D92"/>
    <w:rsid w:val="00D876F9"/>
    <w:rsid w:val="00D91761"/>
    <w:rsid w:val="00DA4070"/>
    <w:rsid w:val="00DA7B5F"/>
    <w:rsid w:val="00DC11E7"/>
    <w:rsid w:val="00DC24E3"/>
    <w:rsid w:val="00DC3967"/>
    <w:rsid w:val="00DC7023"/>
    <w:rsid w:val="00DC769A"/>
    <w:rsid w:val="00DD3D86"/>
    <w:rsid w:val="00DD45E1"/>
    <w:rsid w:val="00DD4AD2"/>
    <w:rsid w:val="00DE2862"/>
    <w:rsid w:val="00DF1EC4"/>
    <w:rsid w:val="00DF6054"/>
    <w:rsid w:val="00E0340B"/>
    <w:rsid w:val="00E04A90"/>
    <w:rsid w:val="00E0551F"/>
    <w:rsid w:val="00E15BE1"/>
    <w:rsid w:val="00E219C7"/>
    <w:rsid w:val="00E4118C"/>
    <w:rsid w:val="00E43157"/>
    <w:rsid w:val="00E43205"/>
    <w:rsid w:val="00E461CE"/>
    <w:rsid w:val="00E573E4"/>
    <w:rsid w:val="00E64C3D"/>
    <w:rsid w:val="00E71465"/>
    <w:rsid w:val="00E720CA"/>
    <w:rsid w:val="00E84EB5"/>
    <w:rsid w:val="00E85662"/>
    <w:rsid w:val="00E8789F"/>
    <w:rsid w:val="00E97B71"/>
    <w:rsid w:val="00EA3D34"/>
    <w:rsid w:val="00EB454D"/>
    <w:rsid w:val="00EB727D"/>
    <w:rsid w:val="00EC72E5"/>
    <w:rsid w:val="00ED3CE3"/>
    <w:rsid w:val="00ED549D"/>
    <w:rsid w:val="00ED5E10"/>
    <w:rsid w:val="00ED76BE"/>
    <w:rsid w:val="00EE00E9"/>
    <w:rsid w:val="00EF1AAA"/>
    <w:rsid w:val="00EF2847"/>
    <w:rsid w:val="00EF619B"/>
    <w:rsid w:val="00F00B55"/>
    <w:rsid w:val="00F02AD1"/>
    <w:rsid w:val="00F10064"/>
    <w:rsid w:val="00F10D38"/>
    <w:rsid w:val="00F201DC"/>
    <w:rsid w:val="00F24138"/>
    <w:rsid w:val="00F253CC"/>
    <w:rsid w:val="00F30878"/>
    <w:rsid w:val="00F37106"/>
    <w:rsid w:val="00F44543"/>
    <w:rsid w:val="00F44E25"/>
    <w:rsid w:val="00F519CF"/>
    <w:rsid w:val="00F56BA5"/>
    <w:rsid w:val="00F60E22"/>
    <w:rsid w:val="00F81395"/>
    <w:rsid w:val="00F81BB8"/>
    <w:rsid w:val="00F90C64"/>
    <w:rsid w:val="00F917D1"/>
    <w:rsid w:val="00F9653B"/>
    <w:rsid w:val="00FB62CF"/>
    <w:rsid w:val="00FD3C3B"/>
    <w:rsid w:val="00FD60B1"/>
    <w:rsid w:val="00FE07DD"/>
    <w:rsid w:val="00FE2135"/>
    <w:rsid w:val="00FE6B45"/>
    <w:rsid w:val="00FF55F3"/>
    <w:rsid w:val="00FF5851"/>
    <w:rsid w:val="00FF613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5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81CA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045C7D"/>
    <w:rPr>
      <w:sz w:val="16"/>
      <w:szCs w:val="16"/>
    </w:rPr>
  </w:style>
  <w:style w:type="paragraph" w:styleId="CommentText">
    <w:name w:val="annotation text"/>
    <w:basedOn w:val="Normal"/>
    <w:link w:val="CommentTextChar"/>
    <w:uiPriority w:val="99"/>
    <w:semiHidden/>
    <w:unhideWhenUsed/>
    <w:rsid w:val="00045C7D"/>
    <w:rPr>
      <w:sz w:val="20"/>
      <w:szCs w:val="20"/>
    </w:rPr>
  </w:style>
  <w:style w:type="character" w:customStyle="1" w:styleId="CommentTextChar">
    <w:name w:val="Comment Text Char"/>
    <w:basedOn w:val="DefaultParagraphFont"/>
    <w:link w:val="CommentText"/>
    <w:uiPriority w:val="99"/>
    <w:semiHidden/>
    <w:rsid w:val="00045C7D"/>
    <w:rPr>
      <w:lang w:val="en-US" w:eastAsia="en-US"/>
    </w:rPr>
  </w:style>
  <w:style w:type="paragraph" w:styleId="CommentSubject">
    <w:name w:val="annotation subject"/>
    <w:basedOn w:val="CommentText"/>
    <w:next w:val="CommentText"/>
    <w:link w:val="CommentSubjectChar"/>
    <w:uiPriority w:val="99"/>
    <w:semiHidden/>
    <w:unhideWhenUsed/>
    <w:rsid w:val="00045C7D"/>
    <w:rPr>
      <w:b/>
      <w:bCs/>
    </w:rPr>
  </w:style>
  <w:style w:type="character" w:customStyle="1" w:styleId="CommentSubjectChar">
    <w:name w:val="Comment Subject Char"/>
    <w:basedOn w:val="CommentTextChar"/>
    <w:link w:val="CommentSubject"/>
    <w:uiPriority w:val="99"/>
    <w:semiHidden/>
    <w:rsid w:val="00045C7D"/>
    <w:rPr>
      <w:b/>
      <w:bCs/>
      <w:lang w:val="en-US" w:eastAsia="en-US"/>
    </w:rPr>
  </w:style>
  <w:style w:type="paragraph" w:styleId="NormalWeb">
    <w:name w:val="Normal (Web)"/>
    <w:basedOn w:val="Normal"/>
    <w:uiPriority w:val="99"/>
    <w:semiHidden/>
    <w:unhideWhenUsed/>
    <w:rsid w:val="00437C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Revision">
    <w:name w:val="Revision"/>
    <w:hidden/>
    <w:uiPriority w:val="99"/>
    <w:semiHidden/>
    <w:rsid w:val="009E4C6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7094">
      <w:bodyDiv w:val="1"/>
      <w:marLeft w:val="0"/>
      <w:marRight w:val="0"/>
      <w:marTop w:val="0"/>
      <w:marBottom w:val="0"/>
      <w:divBdr>
        <w:top w:val="none" w:sz="0" w:space="0" w:color="auto"/>
        <w:left w:val="none" w:sz="0" w:space="0" w:color="auto"/>
        <w:bottom w:val="none" w:sz="0" w:space="0" w:color="auto"/>
        <w:right w:val="none" w:sz="0" w:space="0" w:color="auto"/>
      </w:divBdr>
      <w:divsChild>
        <w:div w:id="983775010">
          <w:marLeft w:val="0"/>
          <w:marRight w:val="0"/>
          <w:marTop w:val="0"/>
          <w:marBottom w:val="0"/>
          <w:divBdr>
            <w:top w:val="none" w:sz="0" w:space="0" w:color="auto"/>
            <w:left w:val="none" w:sz="0" w:space="0" w:color="auto"/>
            <w:bottom w:val="none" w:sz="0" w:space="0" w:color="auto"/>
            <w:right w:val="none" w:sz="0" w:space="0" w:color="auto"/>
          </w:divBdr>
          <w:divsChild>
            <w:div w:id="803351327">
              <w:marLeft w:val="0"/>
              <w:marRight w:val="0"/>
              <w:marTop w:val="0"/>
              <w:marBottom w:val="0"/>
              <w:divBdr>
                <w:top w:val="none" w:sz="0" w:space="0" w:color="auto"/>
                <w:left w:val="none" w:sz="0" w:space="0" w:color="auto"/>
                <w:bottom w:val="none" w:sz="0" w:space="0" w:color="auto"/>
                <w:right w:val="none" w:sz="0" w:space="0" w:color="auto"/>
              </w:divBdr>
              <w:divsChild>
                <w:div w:id="448083683">
                  <w:marLeft w:val="0"/>
                  <w:marRight w:val="0"/>
                  <w:marTop w:val="0"/>
                  <w:marBottom w:val="0"/>
                  <w:divBdr>
                    <w:top w:val="none" w:sz="0" w:space="0" w:color="auto"/>
                    <w:left w:val="none" w:sz="0" w:space="0" w:color="auto"/>
                    <w:bottom w:val="none" w:sz="0" w:space="0" w:color="auto"/>
                    <w:right w:val="none" w:sz="0" w:space="0" w:color="auto"/>
                  </w:divBdr>
                </w:div>
              </w:divsChild>
            </w:div>
            <w:div w:id="1408571503">
              <w:marLeft w:val="0"/>
              <w:marRight w:val="0"/>
              <w:marTop w:val="0"/>
              <w:marBottom w:val="0"/>
              <w:divBdr>
                <w:top w:val="none" w:sz="0" w:space="0" w:color="auto"/>
                <w:left w:val="none" w:sz="0" w:space="0" w:color="auto"/>
                <w:bottom w:val="none" w:sz="0" w:space="0" w:color="auto"/>
                <w:right w:val="none" w:sz="0" w:space="0" w:color="auto"/>
              </w:divBdr>
              <w:divsChild>
                <w:div w:id="1240749915">
                  <w:marLeft w:val="0"/>
                  <w:marRight w:val="0"/>
                  <w:marTop w:val="0"/>
                  <w:marBottom w:val="0"/>
                  <w:divBdr>
                    <w:top w:val="none" w:sz="0" w:space="0" w:color="auto"/>
                    <w:left w:val="none" w:sz="0" w:space="0" w:color="auto"/>
                    <w:bottom w:val="none" w:sz="0" w:space="0" w:color="auto"/>
                    <w:right w:val="none" w:sz="0" w:space="0" w:color="auto"/>
                  </w:divBdr>
                </w:div>
              </w:divsChild>
            </w:div>
            <w:div w:id="1700856149">
              <w:marLeft w:val="0"/>
              <w:marRight w:val="0"/>
              <w:marTop w:val="0"/>
              <w:marBottom w:val="0"/>
              <w:divBdr>
                <w:top w:val="none" w:sz="0" w:space="0" w:color="auto"/>
                <w:left w:val="none" w:sz="0" w:space="0" w:color="auto"/>
                <w:bottom w:val="none" w:sz="0" w:space="0" w:color="auto"/>
                <w:right w:val="none" w:sz="0" w:space="0" w:color="auto"/>
              </w:divBdr>
              <w:divsChild>
                <w:div w:id="18333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671A"/>
    <w:rsid w:val="00055C22"/>
    <w:rsid w:val="00165E94"/>
    <w:rsid w:val="00200821"/>
    <w:rsid w:val="0025245B"/>
    <w:rsid w:val="002A3923"/>
    <w:rsid w:val="002B2591"/>
    <w:rsid w:val="003804DF"/>
    <w:rsid w:val="003804F4"/>
    <w:rsid w:val="00394049"/>
    <w:rsid w:val="003B0C71"/>
    <w:rsid w:val="004B5BBB"/>
    <w:rsid w:val="004F2DF8"/>
    <w:rsid w:val="00517E2A"/>
    <w:rsid w:val="005A2848"/>
    <w:rsid w:val="006F24A1"/>
    <w:rsid w:val="00726F65"/>
    <w:rsid w:val="007309B2"/>
    <w:rsid w:val="007549D7"/>
    <w:rsid w:val="0087666A"/>
    <w:rsid w:val="00952519"/>
    <w:rsid w:val="009A261B"/>
    <w:rsid w:val="00AA2E17"/>
    <w:rsid w:val="00AC15A4"/>
    <w:rsid w:val="00B0336C"/>
    <w:rsid w:val="00CA0762"/>
    <w:rsid w:val="00D241E9"/>
    <w:rsid w:val="00D7750D"/>
    <w:rsid w:val="00DF6E0C"/>
    <w:rsid w:val="00E54976"/>
    <w:rsid w:val="00E70ED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B063-C6D1-4AC1-B7F8-F430C532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3540</Words>
  <Characters>18056</Characters>
  <Application>Microsoft Office Word</Application>
  <DocSecurity>0</DocSecurity>
  <Lines>306</Lines>
  <Paragraphs>70</Paragraphs>
  <ScaleCrop>false</ScaleCrop>
  <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18/21</dc:title>
  <dc:subject/>
  <dc:creator/>
  <cp:keywords/>
  <dc:description/>
  <cp:lastModifiedBy/>
  <cp:revision>1</cp:revision>
  <dcterms:created xsi:type="dcterms:W3CDTF">2021-04-01T14:45:00Z</dcterms:created>
  <dcterms:modified xsi:type="dcterms:W3CDTF">2021-04-01T14:46:00Z</dcterms:modified>
</cp:coreProperties>
</file>